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A2B97" w:rsidP="003F3BB6">
            <w:pPr>
              <w:rPr>
                <w:b/>
              </w:rPr>
            </w:pPr>
            <w:r>
              <w:rPr>
                <w:rStyle w:val="Firstpagetablebold"/>
              </w:rPr>
              <w:t>9</w:t>
            </w:r>
            <w:r w:rsidR="003F3BB6">
              <w:rPr>
                <w:rStyle w:val="Firstpagetablebold"/>
              </w:rPr>
              <w:t xml:space="preserve"> September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B11EE"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779A7" w:rsidP="004A6D2F">
            <w:pPr>
              <w:rPr>
                <w:rStyle w:val="Firstpagetablebold"/>
              </w:rPr>
            </w:pPr>
            <w:r>
              <w:rPr>
                <w:rStyle w:val="Firstpagetablebold"/>
              </w:rPr>
              <w:t>Approval of contract award for a Revenues and Benefits system</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B11EE" w:rsidP="00DB7AD7">
            <w:r>
              <w:t>To seek project approval and delegated authority for the Head of Financial Services to award a contract for the Supply of a Revenues and Benefits system</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CB11EE" w:rsidP="005F7F7E">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CB11EE" w:rsidP="005F7F7E">
            <w:r>
              <w:t>Councillor Nigel Chapman</w:t>
            </w:r>
            <w:r w:rsidR="00E218A1">
              <w:t>, Portfolio holder for Customer Focussed Services</w:t>
            </w:r>
            <w:r w:rsidR="00077157">
              <w:t>, Councillor Ed Turner, Portfolio holder for Finance and Assets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525FD0" w:rsidRPr="0051280C" w:rsidRDefault="003F3BB6" w:rsidP="005F7F7E">
            <w:pPr>
              <w:rPr>
                <w:highlight w:val="yellow"/>
              </w:rPr>
            </w:pPr>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51280C" w:rsidRDefault="008A2B97" w:rsidP="005F7F7E">
            <w:pPr>
              <w:rPr>
                <w:highlight w:val="yellow"/>
              </w:rPr>
            </w:pPr>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8A2B97" w:rsidP="00DB7AD7">
            <w:r>
              <w:rPr>
                <w:rStyle w:val="Firstpagetablebold"/>
              </w:rPr>
              <w:t>Recommendations</w:t>
            </w:r>
            <w:r w:rsidR="005F7F7E">
              <w:rPr>
                <w:rStyle w:val="Firstpagetablebold"/>
              </w:rPr>
              <w:t>:</w:t>
            </w:r>
            <w:r w:rsidR="00C70F84">
              <w:rPr>
                <w:rStyle w:val="Firstpagetablebold"/>
              </w:rPr>
              <w:t xml:space="preserve"> </w:t>
            </w:r>
            <w:r w:rsidR="005F7F7E" w:rsidRPr="008A2B97">
              <w:rPr>
                <w:rStyle w:val="Firstpagetablebold"/>
                <w:b w:val="0"/>
              </w:rPr>
              <w:t xml:space="preserve">That </w:t>
            </w:r>
            <w:r w:rsidR="00DB7AD7" w:rsidRPr="008A2B97">
              <w:rPr>
                <w:rStyle w:val="Firstpagetablebold"/>
                <w:b w:val="0"/>
              </w:rPr>
              <w:t>Cabinet</w:t>
            </w:r>
            <w:r w:rsidR="005F7F7E" w:rsidRPr="008A2B97">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CB11EE" w:rsidP="000D00FC">
            <w:r w:rsidRPr="008A2B97">
              <w:rPr>
                <w:rFonts w:cs="Arial"/>
                <w:b/>
              </w:rPr>
              <w:t>Consider</w:t>
            </w:r>
            <w:r w:rsidRPr="00846707">
              <w:rPr>
                <w:rFonts w:cs="Arial"/>
              </w:rPr>
              <w:t xml:space="preserve"> the result</w:t>
            </w:r>
            <w:r w:rsidR="009B30D7">
              <w:rPr>
                <w:rFonts w:cs="Arial"/>
              </w:rPr>
              <w:t>s</w:t>
            </w:r>
            <w:r w:rsidRPr="00846707">
              <w:rPr>
                <w:rFonts w:cs="Arial"/>
              </w:rPr>
              <w:t xml:space="preserve"> of the tender exercise </w:t>
            </w:r>
            <w:r>
              <w:rPr>
                <w:rFonts w:cs="Arial"/>
              </w:rPr>
              <w:t xml:space="preserve">and give project approval </w:t>
            </w:r>
            <w:r w:rsidRPr="00846707">
              <w:rPr>
                <w:rFonts w:cs="Arial"/>
              </w:rPr>
              <w:t xml:space="preserve">to implement a new </w:t>
            </w:r>
            <w:r w:rsidR="00E12919">
              <w:rPr>
                <w:rFonts w:cs="Arial"/>
              </w:rPr>
              <w:t>r</w:t>
            </w:r>
            <w:r w:rsidRPr="00846707">
              <w:rPr>
                <w:rFonts w:cs="Arial"/>
              </w:rPr>
              <w:t xml:space="preserve">evenues and </w:t>
            </w:r>
            <w:r w:rsidR="00E12919">
              <w:rPr>
                <w:rFonts w:cs="Arial"/>
              </w:rPr>
              <w:t>b</w:t>
            </w:r>
            <w:r w:rsidRPr="00846707">
              <w:rPr>
                <w:rFonts w:cs="Arial"/>
              </w:rPr>
              <w:t xml:space="preserve">enefits </w:t>
            </w:r>
            <w:r w:rsidR="000D00FC">
              <w:rPr>
                <w:rFonts w:cs="Arial"/>
              </w:rPr>
              <w:t xml:space="preserve">ICT software package </w:t>
            </w:r>
            <w:r>
              <w:rPr>
                <w:rFonts w:cs="Arial"/>
              </w:rPr>
              <w:t>,</w:t>
            </w:r>
            <w:r w:rsidRPr="00846707">
              <w:rPr>
                <w:rFonts w:cs="Arial"/>
              </w:rPr>
              <w:t xml:space="preserve"> which will enable the Council to deliver effective, efficient and modern </w:t>
            </w:r>
            <w:r w:rsidR="00E12919">
              <w:rPr>
                <w:rFonts w:cs="Arial"/>
              </w:rPr>
              <w:t>r</w:t>
            </w:r>
            <w:r w:rsidR="00E12919" w:rsidRPr="00846707">
              <w:rPr>
                <w:rFonts w:cs="Arial"/>
              </w:rPr>
              <w:t xml:space="preserve">evenues </w:t>
            </w:r>
            <w:r w:rsidRPr="00846707">
              <w:rPr>
                <w:rFonts w:cs="Arial"/>
              </w:rPr>
              <w:t xml:space="preserve">and </w:t>
            </w:r>
            <w:r w:rsidR="00E12919">
              <w:rPr>
                <w:rFonts w:cs="Arial"/>
              </w:rPr>
              <w:t>b</w:t>
            </w:r>
            <w:r w:rsidR="00E12919" w:rsidRPr="00846707">
              <w:rPr>
                <w:rFonts w:cs="Arial"/>
              </w:rPr>
              <w:t xml:space="preserve">enefits </w:t>
            </w:r>
            <w:r w:rsidR="00E12919">
              <w:rPr>
                <w:rFonts w:cs="Arial"/>
              </w:rPr>
              <w:t>s</w:t>
            </w:r>
            <w:r w:rsidRPr="00846707">
              <w:rPr>
                <w:rFonts w:cs="Arial"/>
              </w:rPr>
              <w:t>ervices for the benefit of the Council and its customers</w:t>
            </w:r>
            <w:r w:rsidR="00E12919">
              <w:rPr>
                <w:rFonts w:cs="Arial"/>
              </w:rPr>
              <w:t>;</w:t>
            </w:r>
          </w:p>
        </w:tc>
      </w:tr>
      <w:tr w:rsidR="0030208D" w:rsidRPr="00975B07" w:rsidTr="00CB11EE">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CB11EE" w:rsidP="002069B3">
            <w:r w:rsidRPr="008A2B97">
              <w:rPr>
                <w:rFonts w:cs="Arial"/>
                <w:b/>
              </w:rPr>
              <w:t>Delegate</w:t>
            </w:r>
            <w:r w:rsidRPr="00846707">
              <w:rPr>
                <w:rFonts w:cs="Arial"/>
              </w:rPr>
              <w:t xml:space="preserve"> to the Head of Financial Services, authority to award a cont</w:t>
            </w:r>
            <w:r w:rsidR="00BF2502">
              <w:rPr>
                <w:rFonts w:cs="Arial"/>
              </w:rPr>
              <w:t>ract for the s</w:t>
            </w:r>
            <w:r w:rsidRPr="00846707">
              <w:rPr>
                <w:rFonts w:cs="Arial"/>
              </w:rPr>
              <w:t xml:space="preserve">upply of a </w:t>
            </w:r>
            <w:r w:rsidR="00E12919">
              <w:rPr>
                <w:rFonts w:cs="Arial"/>
              </w:rPr>
              <w:t>r</w:t>
            </w:r>
            <w:r w:rsidRPr="00846707">
              <w:rPr>
                <w:rFonts w:cs="Arial"/>
              </w:rPr>
              <w:t xml:space="preserve">evenues and </w:t>
            </w:r>
            <w:r w:rsidR="00E12919">
              <w:rPr>
                <w:rFonts w:cs="Arial"/>
              </w:rPr>
              <w:t>b</w:t>
            </w:r>
            <w:r w:rsidRPr="00846707">
              <w:rPr>
                <w:rFonts w:cs="Arial"/>
              </w:rPr>
              <w:t>enefits system</w:t>
            </w:r>
            <w:r w:rsidR="008E1B8A">
              <w:rPr>
                <w:rFonts w:cs="Arial"/>
              </w:rPr>
              <w:t xml:space="preserve"> subject to agreement of appropriate terms to Civica UK Ltd</w:t>
            </w:r>
            <w:r w:rsidR="00E12919">
              <w:rPr>
                <w:rFonts w:cs="Arial"/>
              </w:rPr>
              <w:t>; and</w:t>
            </w:r>
          </w:p>
        </w:tc>
      </w:tr>
      <w:tr w:rsidR="00232F5B" w:rsidRPr="00975B07" w:rsidTr="00CB11EE">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3.</w:t>
            </w:r>
          </w:p>
        </w:tc>
        <w:tc>
          <w:tcPr>
            <w:tcW w:w="8419" w:type="dxa"/>
            <w:gridSpan w:val="2"/>
            <w:tcBorders>
              <w:top w:val="nil"/>
              <w:left w:val="nil"/>
              <w:bottom w:val="single" w:sz="4" w:space="0" w:color="auto"/>
              <w:right w:val="single" w:sz="8" w:space="0" w:color="000000"/>
            </w:tcBorders>
            <w:shd w:val="clear" w:color="auto" w:fill="auto"/>
          </w:tcPr>
          <w:p w:rsidR="00C20705" w:rsidRPr="00126E86" w:rsidRDefault="008E1B8A" w:rsidP="00E3070A">
            <w:r w:rsidRPr="008A2B97">
              <w:rPr>
                <w:b/>
              </w:rPr>
              <w:t>Re</w:t>
            </w:r>
            <w:r w:rsidR="00E3070A">
              <w:rPr>
                <w:b/>
              </w:rPr>
              <w:t>commend</w:t>
            </w:r>
            <w:r>
              <w:t xml:space="preserve"> </w:t>
            </w:r>
            <w:r w:rsidR="00E3070A" w:rsidRPr="003B3B47">
              <w:rPr>
                <w:b/>
              </w:rPr>
              <w:t xml:space="preserve">to </w:t>
            </w:r>
            <w:r w:rsidRPr="003B3B47">
              <w:rPr>
                <w:b/>
              </w:rPr>
              <w:t>Council</w:t>
            </w:r>
            <w:r>
              <w:t xml:space="preserve"> </w:t>
            </w:r>
            <w:r w:rsidR="003B3B47">
              <w:t>to</w:t>
            </w:r>
            <w:r w:rsidR="00E3070A">
              <w:t xml:space="preserve"> make</w:t>
            </w:r>
            <w:r w:rsidR="00E12919">
              <w:t xml:space="preserve"> </w:t>
            </w:r>
            <w:r>
              <w:t>a budget allocation of £735k within the Council</w:t>
            </w:r>
            <w:r w:rsidR="00E12919">
              <w:t>’</w:t>
            </w:r>
            <w:r>
              <w:t>s capital programme for 2020-21 and note the savings accruing to the Council</w:t>
            </w:r>
            <w:r w:rsidR="00E12919">
              <w:t>’</w:t>
            </w:r>
            <w:r>
              <w:t>s Medium Term Financial Plan</w:t>
            </w:r>
            <w:r w:rsidR="00E12919">
              <w:t>.</w:t>
            </w:r>
          </w:p>
        </w:tc>
      </w:tr>
      <w:bookmarkEnd w:id="0"/>
    </w:tbl>
    <w:p w:rsidR="003F49F1" w:rsidRDefault="003F49F1" w:rsidP="004A6D2F">
      <w:pPr>
        <w:pStyle w:val="Heading1"/>
      </w:pPr>
    </w:p>
    <w:tbl>
      <w:tblPr>
        <w:tblStyle w:val="TableGrid"/>
        <w:tblW w:w="0" w:type="auto"/>
        <w:tblLook w:val="04A0" w:firstRow="1" w:lastRow="0" w:firstColumn="1" w:lastColumn="0" w:noHBand="0" w:noVBand="1"/>
      </w:tblPr>
      <w:tblGrid>
        <w:gridCol w:w="9016"/>
      </w:tblGrid>
      <w:tr w:rsidR="008A2B97" w:rsidTr="008A2B97">
        <w:tc>
          <w:tcPr>
            <w:tcW w:w="9016" w:type="dxa"/>
            <w:tcBorders>
              <w:top w:val="single" w:sz="4" w:space="0" w:color="auto"/>
              <w:left w:val="single" w:sz="4" w:space="0" w:color="auto"/>
              <w:bottom w:val="single" w:sz="4" w:space="0" w:color="auto"/>
              <w:right w:val="single" w:sz="4" w:space="0" w:color="auto"/>
            </w:tcBorders>
            <w:hideMark/>
          </w:tcPr>
          <w:p w:rsidR="008A2B97" w:rsidRDefault="008A2B97">
            <w:pPr>
              <w:jc w:val="center"/>
              <w:rPr>
                <w:lang w:eastAsia="en-US"/>
              </w:rPr>
            </w:pPr>
            <w:r>
              <w:rPr>
                <w:rStyle w:val="Firstpagetablebold"/>
                <w:lang w:eastAsia="en-US"/>
              </w:rPr>
              <w:t>Appendices</w:t>
            </w:r>
          </w:p>
        </w:tc>
      </w:tr>
      <w:tr w:rsidR="008A2B97" w:rsidTr="008A2B97">
        <w:tc>
          <w:tcPr>
            <w:tcW w:w="9016" w:type="dxa"/>
            <w:tcBorders>
              <w:top w:val="single" w:sz="4" w:space="0" w:color="auto"/>
              <w:left w:val="single" w:sz="4" w:space="0" w:color="auto"/>
              <w:bottom w:val="single" w:sz="4" w:space="0" w:color="auto"/>
              <w:right w:val="single" w:sz="4" w:space="0" w:color="auto"/>
            </w:tcBorders>
            <w:hideMark/>
          </w:tcPr>
          <w:p w:rsidR="008A2B97" w:rsidRDefault="008A2B97">
            <w:pPr>
              <w:rPr>
                <w:lang w:eastAsia="en-US"/>
              </w:rPr>
            </w:pPr>
            <w:r>
              <w:rPr>
                <w:lang w:eastAsia="en-US"/>
              </w:rPr>
              <w:t xml:space="preserve">1. Table of Costs </w:t>
            </w:r>
            <w:r>
              <w:rPr>
                <w:b/>
                <w:lang w:eastAsia="en-US"/>
              </w:rPr>
              <w:t>(exempt)</w:t>
            </w:r>
          </w:p>
        </w:tc>
      </w:tr>
      <w:tr w:rsidR="008A2B97" w:rsidTr="008A2B97">
        <w:tc>
          <w:tcPr>
            <w:tcW w:w="9016" w:type="dxa"/>
            <w:tcBorders>
              <w:top w:val="single" w:sz="4" w:space="0" w:color="auto"/>
              <w:left w:val="single" w:sz="4" w:space="0" w:color="auto"/>
              <w:bottom w:val="single" w:sz="4" w:space="0" w:color="auto"/>
              <w:right w:val="single" w:sz="4" w:space="0" w:color="auto"/>
            </w:tcBorders>
            <w:hideMark/>
          </w:tcPr>
          <w:p w:rsidR="008A2B97" w:rsidRDefault="008A2B97">
            <w:pPr>
              <w:rPr>
                <w:lang w:eastAsia="en-US"/>
              </w:rPr>
            </w:pPr>
            <w:r>
              <w:rPr>
                <w:lang w:eastAsia="en-US"/>
              </w:rPr>
              <w:t>2.</w:t>
            </w:r>
            <w:r w:rsidR="00334A08">
              <w:rPr>
                <w:lang w:eastAsia="en-US"/>
              </w:rPr>
              <w:t xml:space="preserve"> </w:t>
            </w:r>
            <w:r>
              <w:rPr>
                <w:lang w:eastAsia="en-US"/>
              </w:rPr>
              <w:t>Risks associated with the project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1280C" w:rsidRDefault="0051280C" w:rsidP="00677480">
      <w:pPr>
        <w:pStyle w:val="ListParagraph"/>
      </w:pPr>
      <w:r>
        <w:t xml:space="preserve">The Revenues and Benefits </w:t>
      </w:r>
      <w:r w:rsidR="00E12919">
        <w:t>S</w:t>
      </w:r>
      <w:r>
        <w:t>ervice sits within Financial Services, and is used to administer the collection and recovery of Council Tax and Business Rates, payment of Housing Benefit and Council Tax Reduction, and collection of Housing Benefit overpayments.</w:t>
      </w:r>
    </w:p>
    <w:p w:rsidR="00677480" w:rsidRPr="00CC5E28" w:rsidRDefault="00677480" w:rsidP="00677480">
      <w:pPr>
        <w:pStyle w:val="ListParagraph"/>
      </w:pPr>
      <w:r w:rsidRPr="00CC5E28">
        <w:t>The Council has a</w:t>
      </w:r>
      <w:r w:rsidR="00E12919">
        <w:t xml:space="preserve"> </w:t>
      </w:r>
      <w:r w:rsidRPr="00CC5E28">
        <w:t xml:space="preserve">Revenues and Benefits </w:t>
      </w:r>
      <w:r w:rsidR="00075B37">
        <w:t>software package</w:t>
      </w:r>
      <w:r w:rsidRPr="00CC5E28">
        <w:t xml:space="preserve">, supplied by Capita, known as Academy. The contract </w:t>
      </w:r>
      <w:r w:rsidR="00E12919">
        <w:t xml:space="preserve">with Capita </w:t>
      </w:r>
      <w:r w:rsidRPr="00CC5E28">
        <w:t xml:space="preserve">has been in place for ten years and </w:t>
      </w:r>
      <w:r w:rsidRPr="00CC5E28">
        <w:lastRenderedPageBreak/>
        <w:t>will come to an end on 31</w:t>
      </w:r>
      <w:r w:rsidRPr="00CC5E28">
        <w:rPr>
          <w:vertAlign w:val="superscript"/>
        </w:rPr>
        <w:t>st</w:t>
      </w:r>
      <w:r w:rsidRPr="00CC5E28">
        <w:t xml:space="preserve"> March 2021.</w:t>
      </w:r>
      <w:r w:rsidR="00E12919">
        <w:t xml:space="preserve"> </w:t>
      </w:r>
      <w:r w:rsidRPr="00CC5E28">
        <w:t xml:space="preserve">Current spend is </w:t>
      </w:r>
      <w:r w:rsidR="00D53910" w:rsidRPr="00D53910">
        <w:t>c£77</w:t>
      </w:r>
      <w:r w:rsidRPr="00D53910">
        <w:t>k pa</w:t>
      </w:r>
      <w:r w:rsidRPr="00CC5E28">
        <w:t xml:space="preserve"> and the Council can purchase new/additional models that are priced separately from the annual </w:t>
      </w:r>
      <w:r w:rsidR="002627E3">
        <w:t>licence costs</w:t>
      </w:r>
      <w:r w:rsidRPr="00CC5E28">
        <w:t>.</w:t>
      </w:r>
      <w:r w:rsidR="00E63693">
        <w:t xml:space="preserve"> There are additional costs for using servers and Info@work </w:t>
      </w:r>
      <w:r w:rsidR="008E1B8A">
        <w:t xml:space="preserve">scanning </w:t>
      </w:r>
      <w:r w:rsidR="00E63693">
        <w:t>licence costs.</w:t>
      </w:r>
      <w:r w:rsidR="000D00FC">
        <w:t xml:space="preserve"> </w:t>
      </w:r>
    </w:p>
    <w:p w:rsidR="00677480" w:rsidRPr="00CC5E28" w:rsidRDefault="00677480" w:rsidP="00677480">
      <w:pPr>
        <w:pStyle w:val="ListParagraph"/>
      </w:pPr>
      <w:r w:rsidRPr="00CC5E28">
        <w:t>The Council has had a suc</w:t>
      </w:r>
      <w:r w:rsidR="00DC38B0">
        <w:t>cessful relationship with the supplier</w:t>
      </w:r>
      <w:r w:rsidRPr="00CC5E28">
        <w:t xml:space="preserve"> over this period, with regular account manager meetings, at least 2-3 times a year. The Council also attends User Group meetings, and is able to request developments paid for by </w:t>
      </w:r>
      <w:r w:rsidRPr="00D53910">
        <w:t>those that contribute to a Development Fund</w:t>
      </w:r>
      <w:r w:rsidR="00D53910">
        <w:t>, which the Council does</w:t>
      </w:r>
      <w:r w:rsidRPr="00CC5E28">
        <w:t>.</w:t>
      </w:r>
    </w:p>
    <w:p w:rsidR="00677480" w:rsidRPr="00CC5E28" w:rsidRDefault="00677480" w:rsidP="00677480">
      <w:pPr>
        <w:pStyle w:val="ListParagraph"/>
      </w:pPr>
      <w:r w:rsidRPr="00CC5E28">
        <w:t>The system is updated whenever there are legislation changes</w:t>
      </w:r>
      <w:r w:rsidR="003F3BB6">
        <w:t>.</w:t>
      </w:r>
      <w:r w:rsidR="00C92C89">
        <w:t xml:space="preserve"> Such changes are </w:t>
      </w:r>
      <w:r w:rsidR="003F3BB6">
        <w:t>very</w:t>
      </w:r>
      <w:r w:rsidRPr="00CC5E28">
        <w:t xml:space="preserve"> often funded from Central Government who provide New Burdens Funding in the majority of cases.</w:t>
      </w:r>
    </w:p>
    <w:p w:rsidR="00677480" w:rsidRDefault="00677480" w:rsidP="00677480">
      <w:pPr>
        <w:pStyle w:val="ListParagraph"/>
      </w:pPr>
      <w:r w:rsidRPr="00CC5E28">
        <w:t xml:space="preserve">This report sets out the potential for cost savings by upgrading to a modern </w:t>
      </w:r>
      <w:r w:rsidR="000D00FC">
        <w:t xml:space="preserve">ICT </w:t>
      </w:r>
      <w:r w:rsidRPr="00CC5E28">
        <w:t>system</w:t>
      </w:r>
      <w:r w:rsidR="00506244">
        <w:t xml:space="preserve"> </w:t>
      </w:r>
      <w:r w:rsidRPr="00CC5E28">
        <w:t>that includes a number of well-developed automated processes that the Council would otherwise need to procure separately.</w:t>
      </w:r>
      <w:r w:rsidR="002627E3">
        <w:t xml:space="preserve"> Over time it is anticipated that there will be a reduction in annual support and maintenance costs, time savings and resource savings</w:t>
      </w:r>
      <w:r w:rsidR="00E63693">
        <w:t>.</w:t>
      </w:r>
    </w:p>
    <w:p w:rsidR="00214292" w:rsidRPr="00214292" w:rsidRDefault="00214292" w:rsidP="00214292">
      <w:pPr>
        <w:rPr>
          <w:b/>
        </w:rPr>
      </w:pPr>
      <w:r w:rsidRPr="00214292">
        <w:rPr>
          <w:b/>
        </w:rPr>
        <w:t>Result of the Procurement process</w:t>
      </w:r>
    </w:p>
    <w:p w:rsidR="00214292" w:rsidRDefault="00214292" w:rsidP="00214292">
      <w:pPr>
        <w:pStyle w:val="ListParagraph"/>
      </w:pPr>
      <w:r w:rsidRPr="00CC5E28">
        <w:t>In</w:t>
      </w:r>
      <w:r>
        <w:t xml:space="preserve"> order to test the market, the C</w:t>
      </w:r>
      <w:r w:rsidRPr="00CC5E28">
        <w:t xml:space="preserve">ouncil issued a Prior Information Notice </w:t>
      </w:r>
      <w:r>
        <w:t>(</w:t>
      </w:r>
      <w:r w:rsidRPr="00CC5E28">
        <w:t>P</w:t>
      </w:r>
      <w:r>
        <w:t xml:space="preserve">IN) </w:t>
      </w:r>
      <w:r w:rsidRPr="00CC5E28">
        <w:t>an</w:t>
      </w:r>
      <w:r>
        <w:t>d invited the 3 suppliers that administer the</w:t>
      </w:r>
      <w:r w:rsidRPr="00CC5E28">
        <w:t xml:space="preserve"> required software to demonstrate their products during December 2019-January 2020.</w:t>
      </w:r>
    </w:p>
    <w:p w:rsidR="00214292" w:rsidRDefault="00214292" w:rsidP="000D00FC">
      <w:pPr>
        <w:pStyle w:val="ListParagraph"/>
      </w:pPr>
      <w:r>
        <w:t>A</w:t>
      </w:r>
      <w:r w:rsidRPr="00CC5E28">
        <w:t xml:space="preserve"> </w:t>
      </w:r>
      <w:r>
        <w:t xml:space="preserve"> </w:t>
      </w:r>
      <w:r w:rsidRPr="00CC5E28">
        <w:t xml:space="preserve">Business Case was prepared and </w:t>
      </w:r>
      <w:r>
        <w:t>a</w:t>
      </w:r>
      <w:r w:rsidRPr="00CC5E28">
        <w:t>pp</w:t>
      </w:r>
      <w:r>
        <w:t>roved by the Council</w:t>
      </w:r>
      <w:r w:rsidR="00075B37">
        <w:t>’</w:t>
      </w:r>
      <w:r>
        <w:t xml:space="preserve">s Development Board </w:t>
      </w:r>
      <w:r w:rsidRPr="00E303F0">
        <w:t>on 2</w:t>
      </w:r>
      <w:r w:rsidRPr="00E303F0">
        <w:rPr>
          <w:vertAlign w:val="superscript"/>
        </w:rPr>
        <w:t>nd</w:t>
      </w:r>
      <w:r w:rsidRPr="00E303F0">
        <w:t xml:space="preserve"> March 2020. </w:t>
      </w:r>
      <w:r>
        <w:t>In essence the Business C</w:t>
      </w:r>
      <w:r w:rsidRPr="00E303F0">
        <w:t xml:space="preserve">ase supporting the investment illustrated that </w:t>
      </w:r>
      <w:r w:rsidR="00075B37">
        <w:rPr>
          <w:rFonts w:eastAsiaTheme="minorHAnsi" w:cs="Arial"/>
          <w:color w:val="auto"/>
          <w:lang w:eastAsia="en-US"/>
        </w:rPr>
        <w:t>c</w:t>
      </w:r>
      <w:r w:rsidRPr="00E303F0">
        <w:rPr>
          <w:rFonts w:eastAsiaTheme="minorHAnsi" w:cs="Arial"/>
          <w:color w:val="auto"/>
          <w:lang w:eastAsia="en-US"/>
        </w:rPr>
        <w:t>ustomers/</w:t>
      </w:r>
      <w:r w:rsidR="00075B37">
        <w:rPr>
          <w:rFonts w:eastAsiaTheme="minorHAnsi" w:cs="Arial"/>
          <w:color w:val="auto"/>
          <w:lang w:eastAsia="en-US"/>
        </w:rPr>
        <w:t>r</w:t>
      </w:r>
      <w:r w:rsidRPr="00E303F0">
        <w:rPr>
          <w:rFonts w:eastAsiaTheme="minorHAnsi" w:cs="Arial"/>
          <w:color w:val="auto"/>
          <w:lang w:eastAsia="en-US"/>
        </w:rPr>
        <w:t xml:space="preserve">esidents will benefit from more electronic service delivery. This includes allowing customers to apply for discounts and exemptions on-line, moving in and out </w:t>
      </w:r>
      <w:r w:rsidR="000D00FC">
        <w:rPr>
          <w:rFonts w:eastAsiaTheme="minorHAnsi" w:cs="Arial"/>
          <w:color w:val="auto"/>
          <w:lang w:eastAsia="en-US"/>
        </w:rPr>
        <w:t xml:space="preserve">notification </w:t>
      </w:r>
      <w:r w:rsidRPr="00E303F0">
        <w:rPr>
          <w:rFonts w:eastAsiaTheme="minorHAnsi" w:cs="Arial"/>
          <w:color w:val="auto"/>
          <w:lang w:eastAsia="en-US"/>
        </w:rPr>
        <w:t>automation with information dropping into the back office, more automation which allows them to see the outcome of a request in real time (C</w:t>
      </w:r>
      <w:r w:rsidR="00475AF1">
        <w:rPr>
          <w:rFonts w:eastAsiaTheme="minorHAnsi" w:cs="Arial"/>
          <w:color w:val="auto"/>
          <w:lang w:eastAsia="en-US"/>
        </w:rPr>
        <w:t xml:space="preserve">ouncil </w:t>
      </w:r>
      <w:r w:rsidRPr="00E303F0">
        <w:rPr>
          <w:rFonts w:eastAsiaTheme="minorHAnsi" w:cs="Arial"/>
          <w:color w:val="auto"/>
          <w:lang w:eastAsia="en-US"/>
        </w:rPr>
        <w:t>T</w:t>
      </w:r>
      <w:r w:rsidR="00475AF1">
        <w:rPr>
          <w:rFonts w:eastAsiaTheme="minorHAnsi" w:cs="Arial"/>
          <w:color w:val="auto"/>
          <w:lang w:eastAsia="en-US"/>
        </w:rPr>
        <w:t xml:space="preserve">ax </w:t>
      </w:r>
      <w:r w:rsidRPr="00E303F0">
        <w:rPr>
          <w:rFonts w:eastAsiaTheme="minorHAnsi" w:cs="Arial"/>
          <w:color w:val="auto"/>
          <w:lang w:eastAsia="en-US"/>
        </w:rPr>
        <w:t>R</w:t>
      </w:r>
      <w:r w:rsidR="00475AF1">
        <w:rPr>
          <w:rFonts w:eastAsiaTheme="minorHAnsi" w:cs="Arial"/>
          <w:color w:val="auto"/>
          <w:lang w:eastAsia="en-US"/>
        </w:rPr>
        <w:t>eduction CTR</w:t>
      </w:r>
      <w:r w:rsidRPr="00E303F0">
        <w:rPr>
          <w:rFonts w:eastAsiaTheme="minorHAnsi" w:cs="Arial"/>
          <w:color w:val="auto"/>
          <w:lang w:eastAsia="en-US"/>
        </w:rPr>
        <w:t>) and faster than is currently possible</w:t>
      </w:r>
      <w:r w:rsidR="00075B37">
        <w:rPr>
          <w:rFonts w:eastAsiaTheme="minorHAnsi" w:cs="Arial"/>
          <w:color w:val="auto"/>
          <w:lang w:eastAsia="en-US"/>
        </w:rPr>
        <w:t xml:space="preserve"> It</w:t>
      </w:r>
      <w:r w:rsidR="00075B37" w:rsidRPr="00E303F0">
        <w:rPr>
          <w:rFonts w:eastAsiaTheme="minorHAnsi" w:cs="Arial"/>
          <w:color w:val="auto"/>
          <w:lang w:eastAsia="en-US"/>
        </w:rPr>
        <w:t xml:space="preserve"> </w:t>
      </w:r>
      <w:r w:rsidRPr="00E303F0">
        <w:rPr>
          <w:rFonts w:eastAsiaTheme="minorHAnsi" w:cs="Arial"/>
          <w:color w:val="auto"/>
          <w:lang w:eastAsia="en-US"/>
        </w:rPr>
        <w:t xml:space="preserve">also </w:t>
      </w:r>
      <w:r w:rsidR="00075B37" w:rsidRPr="00E303F0">
        <w:rPr>
          <w:rFonts w:eastAsiaTheme="minorHAnsi" w:cs="Arial"/>
          <w:color w:val="auto"/>
          <w:lang w:eastAsia="en-US"/>
        </w:rPr>
        <w:t>allow</w:t>
      </w:r>
      <w:r w:rsidR="00075B37">
        <w:rPr>
          <w:rFonts w:eastAsiaTheme="minorHAnsi" w:cs="Arial"/>
          <w:color w:val="auto"/>
          <w:lang w:eastAsia="en-US"/>
        </w:rPr>
        <w:t>s</w:t>
      </w:r>
      <w:r w:rsidR="00075B37" w:rsidRPr="00E303F0">
        <w:rPr>
          <w:rFonts w:eastAsiaTheme="minorHAnsi" w:cs="Arial"/>
          <w:color w:val="auto"/>
          <w:lang w:eastAsia="en-US"/>
        </w:rPr>
        <w:t xml:space="preserve"> </w:t>
      </w:r>
      <w:r w:rsidRPr="00E303F0">
        <w:rPr>
          <w:rFonts w:eastAsiaTheme="minorHAnsi" w:cs="Arial"/>
          <w:color w:val="auto"/>
          <w:lang w:eastAsia="en-US"/>
        </w:rPr>
        <w:t>quicker resolution of queries.</w:t>
      </w:r>
      <w:r>
        <w:t xml:space="preserve"> </w:t>
      </w:r>
      <w:r w:rsidRPr="00185E64">
        <w:t xml:space="preserve">Staff will be able to work more efficiently, concentrating more on cases where automation is not possible, and deal with these more complex cases </w:t>
      </w:r>
      <w:r w:rsidR="00075B37">
        <w:t>more quickly.</w:t>
      </w:r>
    </w:p>
    <w:p w:rsidR="00214292" w:rsidRPr="00185E60" w:rsidRDefault="00075B37" w:rsidP="00075B37">
      <w:pPr>
        <w:pStyle w:val="ListParagraph"/>
      </w:pPr>
      <w:r>
        <w:t>The Development Board</w:t>
      </w:r>
      <w:r w:rsidR="00214292" w:rsidRPr="00CC5E28">
        <w:t xml:space="preserve"> agreed </w:t>
      </w:r>
      <w:r>
        <w:t>that the contract to replace the software package should be</w:t>
      </w:r>
      <w:r w:rsidR="00214292" w:rsidRPr="00CC5E28">
        <w:t xml:space="preserve"> tender</w:t>
      </w:r>
      <w:r>
        <w:t>ed</w:t>
      </w:r>
      <w:r w:rsidR="00214292" w:rsidRPr="00CC5E28">
        <w:t xml:space="preserve"> using </w:t>
      </w:r>
      <w:r>
        <w:t xml:space="preserve">the </w:t>
      </w:r>
      <w:r w:rsidR="00214292">
        <w:t>Official Journal of the European Union (</w:t>
      </w:r>
      <w:r w:rsidR="00214292" w:rsidRPr="00CC5E28">
        <w:t>OJEU</w:t>
      </w:r>
      <w:r w:rsidR="00214292">
        <w:t>)</w:t>
      </w:r>
      <w:r w:rsidR="00214292" w:rsidRPr="00CC5E28">
        <w:t xml:space="preserve">, rather than any Framework, because </w:t>
      </w:r>
      <w:r w:rsidR="00214292">
        <w:t xml:space="preserve">this procurement route enables a longer contract to be entered into </w:t>
      </w:r>
      <w:r w:rsidR="00214292" w:rsidRPr="00CC5E28">
        <w:t xml:space="preserve">(10 years plus an optional 2 years) </w:t>
      </w:r>
      <w:r w:rsidR="00214292">
        <w:t xml:space="preserve">which </w:t>
      </w:r>
      <w:r w:rsidR="00214292" w:rsidRPr="00CC5E28">
        <w:t>minimise</w:t>
      </w:r>
      <w:r w:rsidR="00214292">
        <w:t>s</w:t>
      </w:r>
      <w:r w:rsidR="00214292" w:rsidRPr="00CC5E28">
        <w:t xml:space="preserve"> the amount of </w:t>
      </w:r>
      <w:r>
        <w:t xml:space="preserve">potential </w:t>
      </w:r>
      <w:r w:rsidR="00214292" w:rsidRPr="00CC5E28">
        <w:t xml:space="preserve">disruption </w:t>
      </w:r>
      <w:r>
        <w:t xml:space="preserve">that </w:t>
      </w:r>
      <w:r w:rsidR="00214292" w:rsidRPr="00CC5E28">
        <w:t xml:space="preserve">changing systems more regularly </w:t>
      </w:r>
      <w:r w:rsidR="00214292" w:rsidRPr="00185E60">
        <w:t>would cause</w:t>
      </w:r>
      <w:r w:rsidR="000D00FC">
        <w:t xml:space="preserve"> </w:t>
      </w:r>
      <w:r>
        <w:t>.It</w:t>
      </w:r>
      <w:r w:rsidR="00214292">
        <w:t xml:space="preserve"> is </w:t>
      </w:r>
      <w:r>
        <w:t xml:space="preserve">also </w:t>
      </w:r>
      <w:r w:rsidR="00214292">
        <w:t>likely to result in a reduced annual cost.</w:t>
      </w:r>
    </w:p>
    <w:p w:rsidR="00677480" w:rsidRDefault="005F1CE3" w:rsidP="00677480">
      <w:pPr>
        <w:pStyle w:val="ListParagraph"/>
      </w:pPr>
      <w:r>
        <w:t>Three su</w:t>
      </w:r>
      <w:r w:rsidRPr="00CC5E28">
        <w:t>pp</w:t>
      </w:r>
      <w:r>
        <w:t xml:space="preserve">liers responded to the </w:t>
      </w:r>
      <w:r w:rsidRPr="00185E60">
        <w:t>PIN</w:t>
      </w:r>
      <w:r>
        <w:t xml:space="preserve"> notice and the proj</w:t>
      </w:r>
      <w:r w:rsidR="00E63693">
        <w:t xml:space="preserve">ect team </w:t>
      </w:r>
      <w:r w:rsidR="008E1B8A">
        <w:t xml:space="preserve">attended a demonstration of </w:t>
      </w:r>
      <w:r w:rsidR="00E63693">
        <w:t>all three systems.</w:t>
      </w:r>
    </w:p>
    <w:p w:rsidR="00214292" w:rsidRPr="002938E3" w:rsidRDefault="00214292" w:rsidP="00214292">
      <w:pPr>
        <w:pStyle w:val="ListParagraph"/>
      </w:pPr>
      <w:r>
        <w:t>Two tenders were</w:t>
      </w:r>
      <w:r w:rsidRPr="002938E3">
        <w:t xml:space="preserve"> returned by the closing date of 26</w:t>
      </w:r>
      <w:r w:rsidRPr="002938E3">
        <w:rPr>
          <w:vertAlign w:val="superscript"/>
        </w:rPr>
        <w:t>th</w:t>
      </w:r>
      <w:r w:rsidRPr="002938E3">
        <w:t xml:space="preserve"> May and these were subsequently evaluated by the team. Scoring of the bids was based on a Quality Score of 60%, and a Pricing Score of 40%.</w:t>
      </w:r>
    </w:p>
    <w:p w:rsidR="00677480" w:rsidRDefault="00677480" w:rsidP="00677480">
      <w:pPr>
        <w:pStyle w:val="ListParagraph"/>
      </w:pPr>
      <w:r w:rsidRPr="00185E60">
        <w:t>Officers recommend approving the project and delegating authority to award a 10 year contract with an option to extend by 2 years to the Head of Financial S</w:t>
      </w:r>
      <w:r w:rsidR="002627E3">
        <w:t>ervices</w:t>
      </w:r>
      <w:r w:rsidRPr="00185E60">
        <w:t>.</w:t>
      </w:r>
      <w:r w:rsidR="002627E3">
        <w:t xml:space="preserve"> </w:t>
      </w:r>
    </w:p>
    <w:p w:rsidR="008A2B97" w:rsidRPr="00185E60" w:rsidRDefault="008A2B97" w:rsidP="008A2B97">
      <w:pPr>
        <w:pStyle w:val="ListParagraph"/>
        <w:numPr>
          <w:ilvl w:val="0"/>
          <w:numId w:val="0"/>
        </w:numPr>
        <w:ind w:left="360"/>
      </w:pPr>
    </w:p>
    <w:p w:rsidR="00677480" w:rsidRPr="00185E60" w:rsidRDefault="00677480" w:rsidP="00677480">
      <w:pPr>
        <w:pStyle w:val="ListParagraph"/>
      </w:pPr>
      <w:r w:rsidRPr="00185E60">
        <w:t>Key reasons behind this recommendation are as follows:</w:t>
      </w:r>
    </w:p>
    <w:p w:rsidR="00677480" w:rsidRPr="00185E60" w:rsidRDefault="00DC38B0" w:rsidP="00475AF1">
      <w:pPr>
        <w:numPr>
          <w:ilvl w:val="0"/>
          <w:numId w:val="34"/>
        </w:numPr>
        <w:tabs>
          <w:tab w:val="left" w:pos="993"/>
        </w:tabs>
        <w:spacing w:after="0"/>
        <w:ind w:left="851" w:hanging="425"/>
        <w:rPr>
          <w:color w:val="auto"/>
          <w:lang w:eastAsia="en-US"/>
        </w:rPr>
      </w:pPr>
      <w:r>
        <w:rPr>
          <w:color w:val="auto"/>
          <w:lang w:eastAsia="en-US"/>
        </w:rPr>
        <w:lastRenderedPageBreak/>
        <w:t>Cost</w:t>
      </w:r>
      <w:r w:rsidRPr="00DC38B0">
        <w:rPr>
          <w:color w:val="auto"/>
          <w:lang w:eastAsia="en-US"/>
        </w:rPr>
        <w:t xml:space="preserve"> </w:t>
      </w:r>
      <w:r w:rsidR="00677480" w:rsidRPr="00DC38B0">
        <w:rPr>
          <w:color w:val="auto"/>
          <w:lang w:eastAsia="en-US"/>
        </w:rPr>
        <w:t>saving</w:t>
      </w:r>
      <w:r w:rsidRPr="00DC38B0">
        <w:rPr>
          <w:color w:val="auto"/>
          <w:lang w:eastAsia="en-US"/>
        </w:rPr>
        <w:t>s are</w:t>
      </w:r>
      <w:r w:rsidR="00677480" w:rsidRPr="00DC38B0">
        <w:rPr>
          <w:color w:val="auto"/>
          <w:lang w:eastAsia="en-US"/>
        </w:rPr>
        <w:t xml:space="preserve"> likely to be achieved,</w:t>
      </w:r>
      <w:r w:rsidR="00677480" w:rsidRPr="00185E60">
        <w:rPr>
          <w:color w:val="auto"/>
          <w:lang w:eastAsia="en-US"/>
        </w:rPr>
        <w:t xml:space="preserve"> once the new </w:t>
      </w:r>
      <w:r w:rsidR="00075B37">
        <w:rPr>
          <w:color w:val="auto"/>
          <w:lang w:eastAsia="en-US"/>
        </w:rPr>
        <w:t xml:space="preserve">software </w:t>
      </w:r>
      <w:r w:rsidR="00677480" w:rsidRPr="00185E60">
        <w:rPr>
          <w:color w:val="auto"/>
          <w:lang w:eastAsia="en-US"/>
        </w:rPr>
        <w:t>system is bedded in, additional functionality such as automation is utilised, and staff have had an opportunity to review and revise working practices</w:t>
      </w:r>
      <w:r w:rsidR="00075B37">
        <w:rPr>
          <w:color w:val="auto"/>
          <w:lang w:eastAsia="en-US"/>
        </w:rPr>
        <w:t>;</w:t>
      </w:r>
    </w:p>
    <w:p w:rsidR="00677480" w:rsidRPr="00DE7BA9" w:rsidRDefault="00677480" w:rsidP="00475AF1">
      <w:pPr>
        <w:numPr>
          <w:ilvl w:val="0"/>
          <w:numId w:val="34"/>
        </w:numPr>
        <w:tabs>
          <w:tab w:val="left" w:pos="851"/>
        </w:tabs>
        <w:spacing w:after="0"/>
        <w:ind w:left="851" w:hanging="425"/>
        <w:rPr>
          <w:b/>
          <w:color w:val="auto"/>
          <w:sz w:val="28"/>
          <w:szCs w:val="28"/>
          <w:lang w:eastAsia="en-US"/>
        </w:rPr>
      </w:pPr>
      <w:r w:rsidRPr="00185E60">
        <w:rPr>
          <w:color w:val="auto"/>
          <w:lang w:eastAsia="en-US"/>
        </w:rPr>
        <w:t>O</w:t>
      </w:r>
      <w:r w:rsidR="00075B37">
        <w:rPr>
          <w:color w:val="auto"/>
          <w:lang w:eastAsia="en-US"/>
        </w:rPr>
        <w:t xml:space="preserve">xford </w:t>
      </w:r>
      <w:r w:rsidRPr="00185E60">
        <w:rPr>
          <w:color w:val="auto"/>
          <w:lang w:eastAsia="en-US"/>
        </w:rPr>
        <w:t>C</w:t>
      </w:r>
      <w:r w:rsidR="00075B37">
        <w:rPr>
          <w:color w:val="auto"/>
          <w:lang w:eastAsia="en-US"/>
        </w:rPr>
        <w:t xml:space="preserve">ity </w:t>
      </w:r>
      <w:r w:rsidRPr="00185E60">
        <w:rPr>
          <w:color w:val="auto"/>
          <w:lang w:eastAsia="en-US"/>
        </w:rPr>
        <w:t>C</w:t>
      </w:r>
      <w:r w:rsidR="00075B37">
        <w:rPr>
          <w:color w:val="auto"/>
          <w:lang w:eastAsia="en-US"/>
        </w:rPr>
        <w:t>ouncil</w:t>
      </w:r>
      <w:r w:rsidRPr="00185E60">
        <w:rPr>
          <w:color w:val="auto"/>
          <w:lang w:eastAsia="en-US"/>
        </w:rPr>
        <w:t xml:space="preserve"> has experienced issues with the speed of the current </w:t>
      </w:r>
      <w:r w:rsidR="00075B37">
        <w:rPr>
          <w:color w:val="auto"/>
          <w:lang w:eastAsia="en-US"/>
        </w:rPr>
        <w:t xml:space="preserve">Academy </w:t>
      </w:r>
      <w:r w:rsidRPr="00185E60">
        <w:rPr>
          <w:color w:val="auto"/>
          <w:lang w:eastAsia="en-US"/>
        </w:rPr>
        <w:t xml:space="preserve">system. It is </w:t>
      </w:r>
      <w:r w:rsidR="008E1B8A">
        <w:rPr>
          <w:color w:val="auto"/>
          <w:lang w:eastAsia="en-US"/>
        </w:rPr>
        <w:t xml:space="preserve">considered that </w:t>
      </w:r>
      <w:r w:rsidR="00075B37">
        <w:rPr>
          <w:color w:val="auto"/>
          <w:lang w:eastAsia="en-US"/>
        </w:rPr>
        <w:t xml:space="preserve">a </w:t>
      </w:r>
      <w:r w:rsidRPr="00185E60">
        <w:rPr>
          <w:color w:val="auto"/>
          <w:lang w:eastAsia="en-US"/>
        </w:rPr>
        <w:t xml:space="preserve">change </w:t>
      </w:r>
      <w:r w:rsidR="00075B37">
        <w:rPr>
          <w:color w:val="auto"/>
          <w:lang w:eastAsia="en-US"/>
        </w:rPr>
        <w:t xml:space="preserve">of </w:t>
      </w:r>
      <w:r w:rsidR="00592A91">
        <w:rPr>
          <w:color w:val="auto"/>
          <w:lang w:eastAsia="en-US"/>
        </w:rPr>
        <w:t xml:space="preserve">service provider </w:t>
      </w:r>
      <w:r w:rsidRPr="00185E60">
        <w:rPr>
          <w:color w:val="auto"/>
          <w:lang w:eastAsia="en-US"/>
        </w:rPr>
        <w:t>will brin</w:t>
      </w:r>
      <w:r w:rsidR="00D87A5E">
        <w:rPr>
          <w:color w:val="auto"/>
          <w:lang w:eastAsia="en-US"/>
        </w:rPr>
        <w:t>g improved speeds of processing. If it does, it will mean</w:t>
      </w:r>
      <w:r w:rsidRPr="00185E60">
        <w:rPr>
          <w:color w:val="auto"/>
          <w:lang w:eastAsia="en-US"/>
        </w:rPr>
        <w:t xml:space="preserve"> less reliance on the current resilience contract, which in turn could achieve </w:t>
      </w:r>
      <w:r w:rsidR="00592A91">
        <w:rPr>
          <w:color w:val="auto"/>
          <w:lang w:eastAsia="en-US"/>
        </w:rPr>
        <w:t xml:space="preserve">further </w:t>
      </w:r>
      <w:r w:rsidRPr="00185E60">
        <w:rPr>
          <w:color w:val="auto"/>
          <w:lang w:eastAsia="en-US"/>
        </w:rPr>
        <w:t xml:space="preserve">savings </w:t>
      </w:r>
      <w:r w:rsidR="00D87A5E" w:rsidRPr="00D87A5E">
        <w:rPr>
          <w:color w:val="auto"/>
          <w:lang w:eastAsia="en-US"/>
        </w:rPr>
        <w:t>of c£9</w:t>
      </w:r>
      <w:r w:rsidR="00592A91" w:rsidRPr="00D87A5E">
        <w:rPr>
          <w:color w:val="auto"/>
          <w:lang w:eastAsia="en-US"/>
        </w:rPr>
        <w:t>0k p</w:t>
      </w:r>
      <w:r w:rsidR="008E1B8A">
        <w:rPr>
          <w:color w:val="auto"/>
          <w:lang w:eastAsia="en-US"/>
        </w:rPr>
        <w:t>er annum</w:t>
      </w:r>
      <w:r w:rsidR="00075B37">
        <w:rPr>
          <w:color w:val="auto"/>
          <w:lang w:eastAsia="en-US"/>
        </w:rPr>
        <w:t>;</w:t>
      </w:r>
    </w:p>
    <w:p w:rsidR="00677480" w:rsidRPr="00DE7BA9" w:rsidRDefault="00592A91" w:rsidP="00475AF1">
      <w:pPr>
        <w:numPr>
          <w:ilvl w:val="0"/>
          <w:numId w:val="34"/>
        </w:numPr>
        <w:tabs>
          <w:tab w:val="left" w:pos="851"/>
        </w:tabs>
        <w:spacing w:after="0"/>
        <w:ind w:left="851" w:hanging="425"/>
        <w:rPr>
          <w:b/>
          <w:color w:val="auto"/>
          <w:sz w:val="28"/>
          <w:szCs w:val="28"/>
          <w:lang w:eastAsia="en-US"/>
        </w:rPr>
      </w:pPr>
      <w:r w:rsidRPr="00DE7BA9">
        <w:rPr>
          <w:color w:val="auto"/>
          <w:lang w:eastAsia="en-US"/>
        </w:rPr>
        <w:t>A</w:t>
      </w:r>
      <w:r w:rsidR="00677480" w:rsidRPr="00DE7BA9">
        <w:rPr>
          <w:color w:val="auto"/>
          <w:lang w:eastAsia="en-US"/>
        </w:rPr>
        <w:t xml:space="preserve">ll 3 systems </w:t>
      </w:r>
      <w:r w:rsidR="00075B37">
        <w:rPr>
          <w:color w:val="auto"/>
          <w:lang w:eastAsia="en-US"/>
        </w:rPr>
        <w:t>can provide</w:t>
      </w:r>
      <w:r w:rsidR="00677480" w:rsidRPr="00DE7BA9">
        <w:rPr>
          <w:color w:val="auto"/>
          <w:lang w:eastAsia="en-US"/>
        </w:rPr>
        <w:t xml:space="preserve"> what th</w:t>
      </w:r>
      <w:r w:rsidR="00E63693">
        <w:rPr>
          <w:color w:val="auto"/>
          <w:lang w:eastAsia="en-US"/>
        </w:rPr>
        <w:t>e C</w:t>
      </w:r>
      <w:r w:rsidRPr="00DE7BA9">
        <w:rPr>
          <w:color w:val="auto"/>
          <w:lang w:eastAsia="en-US"/>
        </w:rPr>
        <w:t xml:space="preserve">ouncil requires, however the </w:t>
      </w:r>
      <w:r w:rsidR="00EB37E4">
        <w:rPr>
          <w:color w:val="auto"/>
          <w:lang w:eastAsia="en-US"/>
        </w:rPr>
        <w:t>recommended</w:t>
      </w:r>
      <w:r w:rsidRPr="00DE7BA9">
        <w:rPr>
          <w:color w:val="auto"/>
          <w:lang w:eastAsia="en-US"/>
        </w:rPr>
        <w:t xml:space="preserve"> supplier’s technology is</w:t>
      </w:r>
      <w:r w:rsidR="00677480" w:rsidRPr="00DE7BA9">
        <w:rPr>
          <w:color w:val="auto"/>
          <w:lang w:eastAsia="en-US"/>
        </w:rPr>
        <w:t xml:space="preserve"> more advanced in areas that interest </w:t>
      </w:r>
      <w:r w:rsidR="00075B37">
        <w:rPr>
          <w:color w:val="auto"/>
          <w:lang w:eastAsia="en-US"/>
        </w:rPr>
        <w:t xml:space="preserve"> the Council</w:t>
      </w:r>
      <w:r w:rsidR="00677480" w:rsidRPr="00DE7BA9">
        <w:rPr>
          <w:color w:val="auto"/>
          <w:lang w:eastAsia="en-US"/>
        </w:rPr>
        <w:t>, such as process automation</w:t>
      </w:r>
      <w:r w:rsidR="00075B37">
        <w:rPr>
          <w:color w:val="auto"/>
          <w:lang w:eastAsia="en-US"/>
        </w:rPr>
        <w:t>; and</w:t>
      </w:r>
    </w:p>
    <w:p w:rsidR="00677480" w:rsidRPr="00DE7BA9" w:rsidRDefault="00270967" w:rsidP="00475AF1">
      <w:pPr>
        <w:numPr>
          <w:ilvl w:val="0"/>
          <w:numId w:val="34"/>
        </w:numPr>
        <w:tabs>
          <w:tab w:val="left" w:pos="851"/>
        </w:tabs>
        <w:spacing w:after="0"/>
        <w:ind w:left="851" w:hanging="425"/>
        <w:rPr>
          <w:b/>
          <w:color w:val="auto"/>
          <w:sz w:val="28"/>
          <w:szCs w:val="28"/>
          <w:lang w:eastAsia="en-US"/>
        </w:rPr>
      </w:pPr>
      <w:r w:rsidRPr="00DE7BA9">
        <w:rPr>
          <w:color w:val="auto"/>
          <w:lang w:eastAsia="en-US"/>
        </w:rPr>
        <w:t>There wa</w:t>
      </w:r>
      <w:r w:rsidR="00677480" w:rsidRPr="00DE7BA9">
        <w:rPr>
          <w:color w:val="auto"/>
          <w:lang w:eastAsia="en-US"/>
        </w:rPr>
        <w:t xml:space="preserve">s no </w:t>
      </w:r>
      <w:r w:rsidR="00075B37">
        <w:rPr>
          <w:color w:val="auto"/>
          <w:lang w:eastAsia="en-US"/>
        </w:rPr>
        <w:t>alternative</w:t>
      </w:r>
      <w:r w:rsidR="00075B37" w:rsidRPr="00DE7BA9">
        <w:rPr>
          <w:color w:val="auto"/>
          <w:lang w:eastAsia="en-US"/>
        </w:rPr>
        <w:t xml:space="preserve"> </w:t>
      </w:r>
      <w:r w:rsidR="00677480" w:rsidRPr="00DE7BA9">
        <w:rPr>
          <w:color w:val="auto"/>
          <w:lang w:eastAsia="en-US"/>
        </w:rPr>
        <w:t xml:space="preserve">option to the tender process, as the council is out of contract </w:t>
      </w:r>
      <w:r w:rsidR="00592A91" w:rsidRPr="00DE7BA9">
        <w:rPr>
          <w:color w:val="auto"/>
          <w:lang w:eastAsia="en-US"/>
        </w:rPr>
        <w:t xml:space="preserve">with the current supplier </w:t>
      </w:r>
      <w:r w:rsidR="00677480" w:rsidRPr="00DE7BA9">
        <w:rPr>
          <w:color w:val="auto"/>
          <w:lang w:eastAsia="en-US"/>
        </w:rPr>
        <w:t>at the end of March 2021</w:t>
      </w:r>
    </w:p>
    <w:p w:rsidR="001B30AD" w:rsidRDefault="00592A91" w:rsidP="00475AF1">
      <w:pPr>
        <w:numPr>
          <w:ilvl w:val="0"/>
          <w:numId w:val="34"/>
        </w:numPr>
        <w:tabs>
          <w:tab w:val="left" w:pos="851"/>
        </w:tabs>
        <w:spacing w:after="0"/>
        <w:ind w:left="851" w:hanging="425"/>
        <w:rPr>
          <w:b/>
          <w:color w:val="auto"/>
          <w:sz w:val="28"/>
          <w:szCs w:val="28"/>
          <w:lang w:eastAsia="en-US"/>
        </w:rPr>
      </w:pPr>
      <w:r w:rsidRPr="00DE7BA9">
        <w:rPr>
          <w:color w:val="auto"/>
          <w:lang w:eastAsia="en-US"/>
        </w:rPr>
        <w:t>The current supplier</w:t>
      </w:r>
      <w:r w:rsidR="005F1CE3">
        <w:rPr>
          <w:color w:val="auto"/>
          <w:lang w:eastAsia="en-US"/>
        </w:rPr>
        <w:t>,</w:t>
      </w:r>
      <w:r w:rsidRPr="00DE7BA9">
        <w:rPr>
          <w:color w:val="auto"/>
          <w:lang w:eastAsia="en-US"/>
        </w:rPr>
        <w:t xml:space="preserve"> </w:t>
      </w:r>
      <w:r w:rsidR="005F1CE3">
        <w:rPr>
          <w:color w:val="auto"/>
          <w:lang w:eastAsia="en-US"/>
        </w:rPr>
        <w:t>Ca</w:t>
      </w:r>
      <w:r w:rsidR="005F1CE3" w:rsidRPr="00DE7BA9">
        <w:rPr>
          <w:color w:val="auto"/>
          <w:lang w:eastAsia="en-US"/>
        </w:rPr>
        <w:t>p</w:t>
      </w:r>
      <w:r w:rsidR="005F1CE3">
        <w:rPr>
          <w:color w:val="auto"/>
          <w:lang w:eastAsia="en-US"/>
        </w:rPr>
        <w:t xml:space="preserve">ita </w:t>
      </w:r>
      <w:r w:rsidRPr="00DE7BA9">
        <w:rPr>
          <w:color w:val="auto"/>
          <w:lang w:eastAsia="en-US"/>
        </w:rPr>
        <w:t xml:space="preserve">did not </w:t>
      </w:r>
      <w:r w:rsidR="00E10C70">
        <w:rPr>
          <w:color w:val="auto"/>
          <w:lang w:eastAsia="en-US"/>
        </w:rPr>
        <w:t xml:space="preserve">provide a </w:t>
      </w:r>
      <w:r w:rsidRPr="00DE7BA9">
        <w:rPr>
          <w:color w:val="auto"/>
          <w:lang w:eastAsia="en-US"/>
        </w:rPr>
        <w:t xml:space="preserve">bid. </w:t>
      </w:r>
    </w:p>
    <w:p w:rsidR="001B30AD" w:rsidRDefault="001B30AD" w:rsidP="001B30AD">
      <w:pPr>
        <w:tabs>
          <w:tab w:val="left" w:pos="851"/>
        </w:tabs>
        <w:spacing w:after="0"/>
        <w:jc w:val="both"/>
        <w:rPr>
          <w:b/>
          <w:color w:val="auto"/>
          <w:sz w:val="28"/>
          <w:szCs w:val="28"/>
          <w:lang w:eastAsia="en-US"/>
        </w:rPr>
      </w:pPr>
    </w:p>
    <w:p w:rsidR="00A2251A" w:rsidRDefault="00A2251A" w:rsidP="000D00FC">
      <w:pPr>
        <w:pStyle w:val="ListParagraph"/>
      </w:pPr>
      <w:r w:rsidRPr="00DC38B0">
        <w:t>The Council, as part of the tender process, did consider whether or not to move to a hosted solution</w:t>
      </w:r>
      <w:r w:rsidR="000D00FC">
        <w:t>, meaning that t</w:t>
      </w:r>
      <w:r w:rsidR="000D00FC" w:rsidRPr="000D00FC">
        <w:t>he I</w:t>
      </w:r>
      <w:r w:rsidR="000D00FC">
        <w:t>C</w:t>
      </w:r>
      <w:r w:rsidR="000D00FC" w:rsidRPr="000D00FC">
        <w:t>T software and hardware is owned and managed by the ICT software provider. This is usually cloud based</w:t>
      </w:r>
      <w:r w:rsidRPr="00DC38B0">
        <w:t>. The preferred s</w:t>
      </w:r>
      <w:r>
        <w:t xml:space="preserve">upplier does not offer this </w:t>
      </w:r>
      <w:r w:rsidRPr="00DC38B0">
        <w:t xml:space="preserve">solution, and the second bidder did provide costs. This would have added a further £632.5k to the total costs </w:t>
      </w:r>
      <w:r>
        <w:t xml:space="preserve">of their solution </w:t>
      </w:r>
      <w:r w:rsidRPr="00DC38B0">
        <w:t>and was</w:t>
      </w:r>
      <w:r>
        <w:t xml:space="preserve"> not felt to be a viable option. </w:t>
      </w:r>
    </w:p>
    <w:p w:rsidR="00A2251A" w:rsidRPr="00475AF1" w:rsidRDefault="00A2251A" w:rsidP="00475AF1">
      <w:pPr>
        <w:rPr>
          <w:rFonts w:cs="Arial"/>
        </w:rPr>
      </w:pPr>
    </w:p>
    <w:p w:rsidR="001B30AD" w:rsidRPr="001B30AD" w:rsidRDefault="001B30AD" w:rsidP="001B30AD">
      <w:pPr>
        <w:pStyle w:val="ListParagraph"/>
        <w:rPr>
          <w:rFonts w:cs="Arial"/>
        </w:rPr>
      </w:pPr>
      <w:r w:rsidRPr="002D5133">
        <w:rPr>
          <w:rFonts w:cs="Arial"/>
        </w:rPr>
        <w:t xml:space="preserve">Based upon the tender submissions received it is recommended that the contract is awarded to Civica UK Ltd. </w:t>
      </w:r>
    </w:p>
    <w:p w:rsidR="002F178C" w:rsidRDefault="002F178C" w:rsidP="00126E86">
      <w:pPr>
        <w:pStyle w:val="bParagraphtext"/>
        <w:ind w:left="360"/>
      </w:pPr>
    </w:p>
    <w:p w:rsidR="00295B25" w:rsidRPr="00295B25" w:rsidRDefault="00295B25" w:rsidP="00295B25">
      <w:pPr>
        <w:rPr>
          <w:b/>
        </w:rPr>
      </w:pPr>
      <w:r w:rsidRPr="00295B25">
        <w:rPr>
          <w:b/>
        </w:rPr>
        <w:t xml:space="preserve">Benefits of a new </w:t>
      </w:r>
      <w:r w:rsidR="00E10C70">
        <w:rPr>
          <w:b/>
        </w:rPr>
        <w:t xml:space="preserve">software </w:t>
      </w:r>
      <w:r w:rsidRPr="00295B25">
        <w:rPr>
          <w:b/>
        </w:rPr>
        <w:t>system</w:t>
      </w:r>
    </w:p>
    <w:p w:rsidR="00C1631F" w:rsidRDefault="00295B25" w:rsidP="00266943">
      <w:pPr>
        <w:pStyle w:val="ListParagraph"/>
      </w:pPr>
      <w:r>
        <w:t xml:space="preserve">The Revenues and Benefits Team is at the forefront of channel shift, and is currently piloting </w:t>
      </w:r>
      <w:r w:rsidR="006A33A4">
        <w:t>a process to automate benefit changes using robotics. It has also been keen to channel shift customers to more efficient and effective methods of contact</w:t>
      </w:r>
      <w:r w:rsidR="00E10C70">
        <w:t>.</w:t>
      </w:r>
      <w:r w:rsidR="006A33A4">
        <w:t xml:space="preserve"> </w:t>
      </w:r>
      <w:r w:rsidR="00E10C70">
        <w:t>P</w:t>
      </w:r>
      <w:r w:rsidR="006A33A4">
        <w:t xml:space="preserve">urchasing a new </w:t>
      </w:r>
      <w:r w:rsidR="00E10C70">
        <w:t xml:space="preserve">software </w:t>
      </w:r>
      <w:r w:rsidR="006A33A4">
        <w:t xml:space="preserve">system that already has in built automated processing will free up staff time to input information, and reduce customer contact as wait times for responses </w:t>
      </w:r>
      <w:r w:rsidR="00E10C70">
        <w:t xml:space="preserve">will </w:t>
      </w:r>
      <w:r w:rsidR="006A33A4">
        <w:t xml:space="preserve">reduce significantly. </w:t>
      </w:r>
    </w:p>
    <w:p w:rsidR="00C1631F" w:rsidRPr="00266943" w:rsidRDefault="006A33A4" w:rsidP="00C1631F">
      <w:pPr>
        <w:pStyle w:val="ListParagraph"/>
      </w:pPr>
      <w:r>
        <w:t xml:space="preserve">As part of </w:t>
      </w:r>
      <w:r w:rsidR="00E10C70">
        <w:t xml:space="preserve">the </w:t>
      </w:r>
      <w:r>
        <w:t xml:space="preserve">process redesign, the </w:t>
      </w:r>
      <w:r w:rsidR="00E10C70">
        <w:t xml:space="preserve">Revenues and Benefits Team intends </w:t>
      </w:r>
      <w:r>
        <w:t>to utilise a single</w:t>
      </w:r>
      <w:r w:rsidR="00C1631F">
        <w:t xml:space="preserve"> view of debt management tool. This will allow the Counc</w:t>
      </w:r>
      <w:r w:rsidR="00E63693">
        <w:t xml:space="preserve">il to move to a </w:t>
      </w:r>
      <w:r w:rsidR="00E10C70">
        <w:t>c</w:t>
      </w:r>
      <w:r w:rsidR="00E63693">
        <w:t xml:space="preserve">orporate </w:t>
      </w:r>
      <w:r w:rsidR="00E10C70">
        <w:t>d</w:t>
      </w:r>
      <w:r w:rsidR="00E63693">
        <w:t xml:space="preserve">ebt </w:t>
      </w:r>
      <w:r w:rsidR="00E10C70">
        <w:t>m</w:t>
      </w:r>
      <w:r w:rsidR="00C1631F">
        <w:t>anagement solution across numerous debts, giving a holistic view of a debtor</w:t>
      </w:r>
      <w:r w:rsidR="00E10C70">
        <w:t>’</w:t>
      </w:r>
      <w:r w:rsidR="00C1631F">
        <w:t xml:space="preserve">s circumstances. If the Council moved to having its own </w:t>
      </w:r>
      <w:r w:rsidR="00E10C70">
        <w:t>e</w:t>
      </w:r>
      <w:r w:rsidR="00C1631F">
        <w:t xml:space="preserve">nforcement </w:t>
      </w:r>
      <w:r w:rsidR="00E10C70">
        <w:t>a</w:t>
      </w:r>
      <w:r w:rsidR="00C1631F">
        <w:t xml:space="preserve">gents, this solution could be utilised by them as well. It is anticipated that there could be further staff savings by moving to a </w:t>
      </w:r>
      <w:r w:rsidR="00E10C70">
        <w:t>c</w:t>
      </w:r>
      <w:r w:rsidR="00C1631F">
        <w:t xml:space="preserve">orporate </w:t>
      </w:r>
      <w:r w:rsidR="00E10C70">
        <w:t>d</w:t>
      </w:r>
      <w:r w:rsidR="00C1631F">
        <w:t xml:space="preserve">ebt solution, </w:t>
      </w:r>
      <w:r w:rsidR="00D73378">
        <w:t>which will be considered as part of the projec</w:t>
      </w:r>
      <w:r w:rsidR="00C1631F">
        <w:t xml:space="preserve">t. </w:t>
      </w:r>
    </w:p>
    <w:p w:rsidR="00295B25" w:rsidRDefault="006A33A4" w:rsidP="00266943">
      <w:pPr>
        <w:pStyle w:val="ListParagraph"/>
      </w:pPr>
      <w:r>
        <w:t>Allowing customers to access forms 24/7 that automatically populate the back office system will also save on paper forms, scanning documents and will ensure all information required is capt</w:t>
      </w:r>
      <w:r w:rsidR="00C1631F">
        <w:t xml:space="preserve">ured at first point of contact. It is anticipated that with more use of automated forms, customers will feel more able to access services online, such as e-billing, setting up Direct Debits and reporting </w:t>
      </w:r>
      <w:r w:rsidR="00E10C70">
        <w:t xml:space="preserve">any </w:t>
      </w:r>
      <w:r w:rsidR="00C1631F">
        <w:t>changes.</w:t>
      </w:r>
    </w:p>
    <w:p w:rsidR="006A33A4" w:rsidRDefault="006A33A4" w:rsidP="00266943">
      <w:pPr>
        <w:pStyle w:val="ListParagraph"/>
      </w:pPr>
      <w:r>
        <w:t xml:space="preserve">Savings of £120k </w:t>
      </w:r>
      <w:r w:rsidR="00E10C70">
        <w:t xml:space="preserve">for </w:t>
      </w:r>
      <w:r w:rsidR="001508C0">
        <w:t xml:space="preserve">Customer Services and Revenues and Benefits within the </w:t>
      </w:r>
      <w:r w:rsidR="00E10C70">
        <w:t xml:space="preserve">Council’s </w:t>
      </w:r>
      <w:r w:rsidR="001508C0">
        <w:t xml:space="preserve">Medium Term Financial Plan </w:t>
      </w:r>
      <w:r w:rsidR="00E10C70">
        <w:t xml:space="preserve">for </w:t>
      </w:r>
      <w:r w:rsidR="001508C0">
        <w:t xml:space="preserve">2021-22 </w:t>
      </w:r>
      <w:r>
        <w:t xml:space="preserve">have already been identified </w:t>
      </w:r>
      <w:r w:rsidR="00E10C70">
        <w:t xml:space="preserve">as </w:t>
      </w:r>
      <w:r w:rsidR="00E10C70">
        <w:lastRenderedPageBreak/>
        <w:t>a direct result</w:t>
      </w:r>
      <w:r>
        <w:t xml:space="preserve"> of having a more automated system alongside a revised Council Tax Reduction Scheme (CTRS) that requires less administration and reduces contact.</w:t>
      </w:r>
    </w:p>
    <w:p w:rsidR="00BF2502" w:rsidRPr="00701A36" w:rsidRDefault="00C1631F" w:rsidP="00701A36">
      <w:pPr>
        <w:pStyle w:val="ListParagraph"/>
      </w:pPr>
      <w:r>
        <w:t>It is</w:t>
      </w:r>
      <w:r w:rsidR="00EF088B">
        <w:t xml:space="preserve"> expected that</w:t>
      </w:r>
      <w:r>
        <w:t xml:space="preserve">, from </w:t>
      </w:r>
      <w:r w:rsidR="002F178C">
        <w:t>2022-23</w:t>
      </w:r>
      <w:r>
        <w:t xml:space="preserve">, due to the </w:t>
      </w:r>
      <w:r w:rsidR="00E10C70">
        <w:t xml:space="preserve">increased </w:t>
      </w:r>
      <w:r w:rsidR="00EF088B">
        <w:t xml:space="preserve">automation that the new system affords, </w:t>
      </w:r>
      <w:r>
        <w:t xml:space="preserve">additional </w:t>
      </w:r>
      <w:r w:rsidR="00EF088B">
        <w:t xml:space="preserve">staff savings can be made. A conservative </w:t>
      </w:r>
      <w:r w:rsidR="00E10C70">
        <w:t>estimate is</w:t>
      </w:r>
      <w:r w:rsidR="00EF088B">
        <w:t xml:space="preserve"> that this could potentially save 4 x Grade 5 staff </w:t>
      </w:r>
      <w:r w:rsidR="00E10C70">
        <w:t xml:space="preserve">posts </w:t>
      </w:r>
      <w:r w:rsidR="00EF088B">
        <w:t>across both Reve</w:t>
      </w:r>
      <w:r>
        <w:t>nues and Benefits</w:t>
      </w:r>
      <w:r w:rsidR="002F178C">
        <w:t xml:space="preserve"> and Customer Contact Teams</w:t>
      </w:r>
      <w:r>
        <w:t xml:space="preserve">, a </w:t>
      </w:r>
      <w:r w:rsidR="00EF088B">
        <w:t>saving of £</w:t>
      </w:r>
      <w:r w:rsidR="004D3923">
        <w:t>1</w:t>
      </w:r>
      <w:r w:rsidR="00E26ACE">
        <w:t>0</w:t>
      </w:r>
      <w:r w:rsidR="003837D3">
        <w:t>0k p</w:t>
      </w:r>
      <w:r w:rsidR="002F178C">
        <w:t xml:space="preserve">er </w:t>
      </w:r>
      <w:r w:rsidR="003837D3">
        <w:t>a</w:t>
      </w:r>
      <w:r w:rsidR="002F178C">
        <w:t>nnum</w:t>
      </w:r>
      <w:r w:rsidR="00701A36">
        <w:t>,</w:t>
      </w:r>
      <w:r w:rsidR="00EC5266">
        <w:t xml:space="preserve"> </w:t>
      </w:r>
      <w:r>
        <w:t xml:space="preserve">as the need to speak to an advisor reduces. </w:t>
      </w:r>
    </w:p>
    <w:p w:rsidR="00266943" w:rsidRDefault="00266943" w:rsidP="0052609E">
      <w:pPr>
        <w:pStyle w:val="ListParagraph"/>
      </w:pPr>
      <w:r>
        <w:t xml:space="preserve">Having a </w:t>
      </w:r>
      <w:r w:rsidR="00E10C70">
        <w:t xml:space="preserve">software </w:t>
      </w:r>
      <w:r w:rsidRPr="00266943">
        <w:t>system with digital/self-serve processing will also release the potential for future re</w:t>
      </w:r>
      <w:r>
        <w:t xml:space="preserve">source savings </w:t>
      </w:r>
      <w:r w:rsidR="00E10C70">
        <w:t>since</w:t>
      </w:r>
      <w:r w:rsidR="00E10C70" w:rsidRPr="00266943">
        <w:t xml:space="preserve"> </w:t>
      </w:r>
      <w:r w:rsidRPr="00266943">
        <w:t xml:space="preserve">migrating </w:t>
      </w:r>
      <w:r w:rsidR="0052609E">
        <w:t xml:space="preserve">customers </w:t>
      </w:r>
      <w:r w:rsidRPr="00266943">
        <w:t>to cheaper channels would also realise financial benefits in</w:t>
      </w:r>
      <w:r>
        <w:t xml:space="preserve"> the future. It would also increase capacity and deliver</w:t>
      </w:r>
      <w:r w:rsidRPr="00266943">
        <w:t xml:space="preserve"> economies of scale at </w:t>
      </w:r>
      <w:r>
        <w:t xml:space="preserve">a time when all councils </w:t>
      </w:r>
      <w:r w:rsidRPr="00266943">
        <w:t xml:space="preserve">are facing the prospect of funding </w:t>
      </w:r>
      <w:r w:rsidRPr="00FA452D">
        <w:t xml:space="preserve">reductions from </w:t>
      </w:r>
      <w:r w:rsidR="00E10C70">
        <w:t xml:space="preserve">central </w:t>
      </w:r>
      <w:r w:rsidRPr="00FA452D">
        <w:t xml:space="preserve">government and managing the impact of </w:t>
      </w:r>
      <w:r w:rsidR="00E10C70">
        <w:t xml:space="preserve">the </w:t>
      </w:r>
      <w:r w:rsidRPr="00FA452D">
        <w:t>Covid-19</w:t>
      </w:r>
      <w:r w:rsidR="00E10C70">
        <w:t xml:space="preserve"> pandemic</w:t>
      </w:r>
      <w:r w:rsidRPr="00FA452D">
        <w:t xml:space="preserve">. </w:t>
      </w:r>
    </w:p>
    <w:p w:rsidR="0048062D" w:rsidRDefault="0048062D" w:rsidP="0048062D">
      <w:pPr>
        <w:pStyle w:val="ListParagraph"/>
      </w:pPr>
      <w:r>
        <w:t xml:space="preserve">The supplier has specified server requirements. These are higher than what </w:t>
      </w:r>
      <w:r w:rsidR="00075B37">
        <w:t>the council is</w:t>
      </w:r>
      <w:r>
        <w:t xml:space="preserve"> currently paying. At present the system</w:t>
      </w:r>
      <w:r w:rsidR="00E10C70">
        <w:t xml:space="preserve"> in use</w:t>
      </w:r>
      <w:r>
        <w:t xml:space="preserve"> is very slow, and despite extensive investigations, neither </w:t>
      </w:r>
      <w:r w:rsidR="00E10C70">
        <w:t>the Counci</w:t>
      </w:r>
      <w:r w:rsidR="000D00FC">
        <w:t>l</w:t>
      </w:r>
      <w:r w:rsidR="00E10C70">
        <w:t xml:space="preserve">’s own nor the </w:t>
      </w:r>
      <w:r>
        <w:t xml:space="preserve">Capita specialists have been able to deliver a solution. As the new servers </w:t>
      </w:r>
      <w:r w:rsidR="00DE326C">
        <w:t xml:space="preserve">on offer </w:t>
      </w:r>
      <w:r>
        <w:t xml:space="preserve">are of a high specification it is anticipated that </w:t>
      </w:r>
      <w:r w:rsidR="00DE326C">
        <w:t>the</w:t>
      </w:r>
      <w:r>
        <w:t xml:space="preserve"> speed of processing</w:t>
      </w:r>
      <w:r w:rsidR="00DE326C">
        <w:t xml:space="preserve"> will improve</w:t>
      </w:r>
      <w:r>
        <w:t xml:space="preserve"> and will be a worthwhile investment.</w:t>
      </w:r>
    </w:p>
    <w:p w:rsidR="00176AD8" w:rsidRDefault="00EC5266" w:rsidP="0048062D">
      <w:pPr>
        <w:pStyle w:val="ListParagraph"/>
      </w:pPr>
      <w:r>
        <w:t>Project M</w:t>
      </w:r>
      <w:r w:rsidR="00176AD8">
        <w:t>ilestones</w:t>
      </w:r>
    </w:p>
    <w:tbl>
      <w:tblPr>
        <w:tblStyle w:val="TableGrid"/>
        <w:tblW w:w="0" w:type="auto"/>
        <w:tblInd w:w="360" w:type="dxa"/>
        <w:tblLook w:val="04A0" w:firstRow="1" w:lastRow="0" w:firstColumn="1" w:lastColumn="0" w:noHBand="0" w:noVBand="1"/>
      </w:tblPr>
      <w:tblGrid>
        <w:gridCol w:w="4476"/>
        <w:gridCol w:w="4452"/>
      </w:tblGrid>
      <w:tr w:rsidR="00D96C73" w:rsidRPr="004A3190" w:rsidTr="00176AD8">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Cabinet approval to proceed</w:t>
            </w:r>
          </w:p>
        </w:tc>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9</w:t>
            </w:r>
            <w:r w:rsidRPr="004A3190">
              <w:rPr>
                <w:sz w:val="20"/>
                <w:szCs w:val="20"/>
                <w:vertAlign w:val="superscript"/>
              </w:rPr>
              <w:t>th</w:t>
            </w:r>
            <w:r w:rsidRPr="004A3190">
              <w:rPr>
                <w:sz w:val="20"/>
                <w:szCs w:val="20"/>
              </w:rPr>
              <w:t xml:space="preserve"> September 2020</w:t>
            </w:r>
          </w:p>
        </w:tc>
      </w:tr>
      <w:tr w:rsidR="00D96C73" w:rsidRPr="004A3190" w:rsidTr="00176AD8">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Supplier notification</w:t>
            </w:r>
          </w:p>
        </w:tc>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10</w:t>
            </w:r>
            <w:r w:rsidRPr="004A3190">
              <w:rPr>
                <w:sz w:val="20"/>
                <w:szCs w:val="20"/>
                <w:vertAlign w:val="superscript"/>
              </w:rPr>
              <w:t>th</w:t>
            </w:r>
            <w:r w:rsidRPr="004A3190">
              <w:rPr>
                <w:sz w:val="20"/>
                <w:szCs w:val="20"/>
              </w:rPr>
              <w:t xml:space="preserve"> September 2020</w:t>
            </w:r>
          </w:p>
        </w:tc>
      </w:tr>
      <w:tr w:rsidR="00D96C73" w:rsidRPr="004A3190" w:rsidTr="00176AD8">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Standstill period</w:t>
            </w:r>
            <w:r w:rsidR="00D96C73" w:rsidRPr="004A3190">
              <w:rPr>
                <w:sz w:val="20"/>
                <w:szCs w:val="20"/>
              </w:rPr>
              <w:t xml:space="preserve"> ends</w:t>
            </w:r>
          </w:p>
        </w:tc>
        <w:tc>
          <w:tcPr>
            <w:tcW w:w="4644" w:type="dxa"/>
          </w:tcPr>
          <w:p w:rsidR="00176AD8" w:rsidRPr="004A3190" w:rsidRDefault="00D96C73" w:rsidP="004A3190">
            <w:pPr>
              <w:pStyle w:val="ListParagraph"/>
              <w:numPr>
                <w:ilvl w:val="0"/>
                <w:numId w:val="0"/>
              </w:numPr>
              <w:jc w:val="right"/>
              <w:rPr>
                <w:sz w:val="20"/>
                <w:szCs w:val="20"/>
              </w:rPr>
            </w:pPr>
            <w:r w:rsidRPr="004A3190">
              <w:rPr>
                <w:sz w:val="20"/>
                <w:szCs w:val="20"/>
              </w:rPr>
              <w:t>21</w:t>
            </w:r>
            <w:r w:rsidRPr="004A3190">
              <w:rPr>
                <w:sz w:val="20"/>
                <w:szCs w:val="20"/>
                <w:vertAlign w:val="superscript"/>
              </w:rPr>
              <w:t>st</w:t>
            </w:r>
            <w:r w:rsidRPr="004A3190">
              <w:rPr>
                <w:sz w:val="20"/>
                <w:szCs w:val="20"/>
              </w:rPr>
              <w:t xml:space="preserve"> September 2020</w:t>
            </w:r>
          </w:p>
        </w:tc>
      </w:tr>
      <w:tr w:rsidR="00D96C73" w:rsidRPr="004A3190" w:rsidTr="00176AD8">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Project award</w:t>
            </w:r>
          </w:p>
        </w:tc>
        <w:tc>
          <w:tcPr>
            <w:tcW w:w="4644" w:type="dxa"/>
          </w:tcPr>
          <w:p w:rsidR="00176AD8" w:rsidRPr="004A3190" w:rsidRDefault="00D96C73" w:rsidP="004A3190">
            <w:pPr>
              <w:pStyle w:val="ListParagraph"/>
              <w:numPr>
                <w:ilvl w:val="0"/>
                <w:numId w:val="0"/>
              </w:numPr>
              <w:jc w:val="right"/>
              <w:rPr>
                <w:sz w:val="20"/>
                <w:szCs w:val="20"/>
              </w:rPr>
            </w:pPr>
            <w:r w:rsidRPr="004A3190">
              <w:rPr>
                <w:sz w:val="20"/>
                <w:szCs w:val="20"/>
              </w:rPr>
              <w:t>22</w:t>
            </w:r>
            <w:r w:rsidRPr="004A3190">
              <w:rPr>
                <w:sz w:val="20"/>
                <w:szCs w:val="20"/>
                <w:vertAlign w:val="superscript"/>
              </w:rPr>
              <w:t>nd</w:t>
            </w:r>
            <w:r w:rsidRPr="004A3190">
              <w:rPr>
                <w:sz w:val="20"/>
                <w:szCs w:val="20"/>
              </w:rPr>
              <w:t xml:space="preserve"> September 2020</w:t>
            </w:r>
          </w:p>
        </w:tc>
      </w:tr>
      <w:tr w:rsidR="00D96C73" w:rsidRPr="004A3190" w:rsidTr="00176AD8">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Project commencement and implementation</w:t>
            </w:r>
          </w:p>
        </w:tc>
        <w:tc>
          <w:tcPr>
            <w:tcW w:w="4644" w:type="dxa"/>
          </w:tcPr>
          <w:p w:rsidR="00176AD8" w:rsidRPr="004A3190" w:rsidRDefault="00D96C73" w:rsidP="004A3190">
            <w:pPr>
              <w:pStyle w:val="ListParagraph"/>
              <w:numPr>
                <w:ilvl w:val="0"/>
                <w:numId w:val="0"/>
              </w:numPr>
              <w:jc w:val="right"/>
              <w:rPr>
                <w:sz w:val="20"/>
                <w:szCs w:val="20"/>
              </w:rPr>
            </w:pPr>
            <w:r w:rsidRPr="004A3190">
              <w:rPr>
                <w:sz w:val="20"/>
                <w:szCs w:val="20"/>
              </w:rPr>
              <w:t>1</w:t>
            </w:r>
            <w:r w:rsidRPr="004A3190">
              <w:rPr>
                <w:sz w:val="20"/>
                <w:szCs w:val="20"/>
                <w:vertAlign w:val="superscript"/>
              </w:rPr>
              <w:t>st</w:t>
            </w:r>
            <w:r w:rsidRPr="004A3190">
              <w:rPr>
                <w:sz w:val="20"/>
                <w:szCs w:val="20"/>
              </w:rPr>
              <w:t xml:space="preserve"> October 2020 (tbc)</w:t>
            </w:r>
          </w:p>
        </w:tc>
      </w:tr>
      <w:tr w:rsidR="00D96C73" w:rsidRPr="004A3190" w:rsidTr="00176AD8">
        <w:tc>
          <w:tcPr>
            <w:tcW w:w="4644" w:type="dxa"/>
          </w:tcPr>
          <w:p w:rsidR="00176AD8" w:rsidRPr="004A3190" w:rsidRDefault="00176AD8" w:rsidP="004A3190">
            <w:pPr>
              <w:pStyle w:val="ListParagraph"/>
              <w:numPr>
                <w:ilvl w:val="0"/>
                <w:numId w:val="0"/>
              </w:numPr>
              <w:jc w:val="right"/>
              <w:rPr>
                <w:sz w:val="20"/>
                <w:szCs w:val="20"/>
              </w:rPr>
            </w:pPr>
            <w:r w:rsidRPr="004A3190">
              <w:rPr>
                <w:sz w:val="20"/>
                <w:szCs w:val="20"/>
              </w:rPr>
              <w:t>Go live</w:t>
            </w:r>
          </w:p>
        </w:tc>
        <w:tc>
          <w:tcPr>
            <w:tcW w:w="4644" w:type="dxa"/>
          </w:tcPr>
          <w:p w:rsidR="00176AD8" w:rsidRPr="004A3190" w:rsidRDefault="00D96C73" w:rsidP="004A3190">
            <w:pPr>
              <w:pStyle w:val="ListParagraph"/>
              <w:numPr>
                <w:ilvl w:val="0"/>
                <w:numId w:val="0"/>
              </w:numPr>
              <w:jc w:val="right"/>
              <w:rPr>
                <w:sz w:val="20"/>
                <w:szCs w:val="20"/>
              </w:rPr>
            </w:pPr>
            <w:r w:rsidRPr="004A3190">
              <w:rPr>
                <w:sz w:val="20"/>
                <w:szCs w:val="20"/>
              </w:rPr>
              <w:t>4</w:t>
            </w:r>
            <w:r w:rsidRPr="004A3190">
              <w:rPr>
                <w:sz w:val="20"/>
                <w:szCs w:val="20"/>
                <w:vertAlign w:val="superscript"/>
              </w:rPr>
              <w:t>th</w:t>
            </w:r>
            <w:r w:rsidRPr="004A3190">
              <w:rPr>
                <w:sz w:val="20"/>
                <w:szCs w:val="20"/>
              </w:rPr>
              <w:t xml:space="preserve"> May 2021 (tbc)</w:t>
            </w:r>
          </w:p>
        </w:tc>
      </w:tr>
    </w:tbl>
    <w:p w:rsidR="00176AD8" w:rsidRPr="00F54AA7" w:rsidRDefault="00176AD8" w:rsidP="00176AD8">
      <w:pPr>
        <w:pStyle w:val="ListParagraph"/>
        <w:numPr>
          <w:ilvl w:val="0"/>
          <w:numId w:val="0"/>
        </w:numPr>
        <w:ind w:left="360"/>
      </w:pPr>
    </w:p>
    <w:p w:rsidR="00214292" w:rsidRPr="00214292" w:rsidRDefault="00214292" w:rsidP="00214292">
      <w:pPr>
        <w:pStyle w:val="ListParagraph"/>
        <w:numPr>
          <w:ilvl w:val="0"/>
          <w:numId w:val="0"/>
        </w:numPr>
        <w:ind w:left="360"/>
        <w:rPr>
          <w:b/>
        </w:rPr>
      </w:pPr>
      <w:r w:rsidRPr="00214292">
        <w:rPr>
          <w:b/>
        </w:rPr>
        <w:t>Financial implications</w:t>
      </w:r>
    </w:p>
    <w:p w:rsidR="00214292" w:rsidRDefault="00214292" w:rsidP="00206AF2">
      <w:pPr>
        <w:pStyle w:val="ListParagraph"/>
      </w:pPr>
      <w:r>
        <w:t xml:space="preserve">The </w:t>
      </w:r>
      <w:r w:rsidRPr="00F54AA7">
        <w:t xml:space="preserve">table </w:t>
      </w:r>
      <w:r w:rsidR="00771CE4">
        <w:t>at Appendix 1</w:t>
      </w:r>
      <w:r>
        <w:t xml:space="preserve"> </w:t>
      </w:r>
      <w:r w:rsidRPr="00F54AA7">
        <w:t xml:space="preserve">provides a summary of the costs </w:t>
      </w:r>
      <w:r>
        <w:t xml:space="preserve">and savings </w:t>
      </w:r>
      <w:r w:rsidRPr="00F54AA7">
        <w:t xml:space="preserve">of the new system </w:t>
      </w:r>
      <w:r>
        <w:t>which includes one off, annual and ten year contract period costs. This is summarised in Table 1 below :</w:t>
      </w:r>
    </w:p>
    <w:tbl>
      <w:tblPr>
        <w:tblStyle w:val="TableGrid"/>
        <w:tblW w:w="0" w:type="auto"/>
        <w:tblInd w:w="360" w:type="dxa"/>
        <w:tblLook w:val="04A0" w:firstRow="1" w:lastRow="0" w:firstColumn="1" w:lastColumn="0" w:noHBand="0" w:noVBand="1"/>
      </w:tblPr>
      <w:tblGrid>
        <w:gridCol w:w="4632"/>
        <w:gridCol w:w="1526"/>
        <w:gridCol w:w="1385"/>
        <w:gridCol w:w="1385"/>
      </w:tblGrid>
      <w:tr w:rsidR="00214292" w:rsidRPr="004A3190" w:rsidTr="00E10C70">
        <w:tc>
          <w:tcPr>
            <w:tcW w:w="8928" w:type="dxa"/>
            <w:gridSpan w:val="4"/>
            <w:shd w:val="clear" w:color="auto" w:fill="A6A6A6" w:themeFill="background1" w:themeFillShade="A6"/>
          </w:tcPr>
          <w:p w:rsidR="00214292" w:rsidRPr="004A3190" w:rsidRDefault="00214292" w:rsidP="00E10C70">
            <w:pPr>
              <w:pStyle w:val="bParagraphtext"/>
              <w:jc w:val="both"/>
              <w:rPr>
                <w:rFonts w:cs="Arial"/>
                <w:b/>
                <w:sz w:val="20"/>
                <w:szCs w:val="20"/>
              </w:rPr>
            </w:pPr>
            <w:r w:rsidRPr="004A3190">
              <w:rPr>
                <w:rFonts w:cs="Arial"/>
                <w:b/>
                <w:sz w:val="20"/>
                <w:szCs w:val="20"/>
              </w:rPr>
              <w:t>Table 1 : System costs</w:t>
            </w:r>
          </w:p>
        </w:tc>
      </w:tr>
      <w:tr w:rsidR="00214292" w:rsidRPr="004A3190" w:rsidTr="00E10C70">
        <w:tc>
          <w:tcPr>
            <w:tcW w:w="4632" w:type="dxa"/>
            <w:shd w:val="clear" w:color="auto" w:fill="A6A6A6" w:themeFill="background1" w:themeFillShade="A6"/>
          </w:tcPr>
          <w:p w:rsidR="00214292" w:rsidRPr="004A3190" w:rsidRDefault="00214292" w:rsidP="00E10C70">
            <w:pPr>
              <w:pStyle w:val="bParagraphtext"/>
              <w:rPr>
                <w:rFonts w:cs="Arial"/>
                <w:b/>
                <w:sz w:val="20"/>
                <w:szCs w:val="20"/>
              </w:rPr>
            </w:pPr>
          </w:p>
        </w:tc>
        <w:tc>
          <w:tcPr>
            <w:tcW w:w="1526" w:type="dxa"/>
            <w:shd w:val="clear" w:color="auto" w:fill="A6A6A6" w:themeFill="background1" w:themeFillShade="A6"/>
          </w:tcPr>
          <w:p w:rsidR="00214292" w:rsidRPr="004A3190" w:rsidRDefault="00214292" w:rsidP="00E10C70">
            <w:pPr>
              <w:pStyle w:val="bParagraphtext"/>
              <w:rPr>
                <w:rFonts w:cs="Arial"/>
                <w:b/>
                <w:sz w:val="20"/>
                <w:szCs w:val="20"/>
              </w:rPr>
            </w:pPr>
            <w:r w:rsidRPr="004A3190">
              <w:rPr>
                <w:rFonts w:cs="Arial"/>
                <w:b/>
                <w:sz w:val="20"/>
                <w:szCs w:val="20"/>
              </w:rPr>
              <w:t>Year 1</w:t>
            </w:r>
          </w:p>
        </w:tc>
        <w:tc>
          <w:tcPr>
            <w:tcW w:w="1385" w:type="dxa"/>
            <w:shd w:val="clear" w:color="auto" w:fill="A6A6A6" w:themeFill="background1" w:themeFillShade="A6"/>
          </w:tcPr>
          <w:p w:rsidR="00214292" w:rsidRPr="004A3190" w:rsidRDefault="00214292" w:rsidP="00E10C70">
            <w:pPr>
              <w:pStyle w:val="bParagraphtext"/>
              <w:rPr>
                <w:rFonts w:cs="Arial"/>
                <w:b/>
                <w:sz w:val="20"/>
                <w:szCs w:val="20"/>
              </w:rPr>
            </w:pPr>
            <w:r w:rsidRPr="004A3190">
              <w:rPr>
                <w:rFonts w:cs="Arial"/>
                <w:b/>
                <w:sz w:val="20"/>
                <w:szCs w:val="20"/>
              </w:rPr>
              <w:t xml:space="preserve">Annual </w:t>
            </w:r>
          </w:p>
        </w:tc>
        <w:tc>
          <w:tcPr>
            <w:tcW w:w="1385" w:type="dxa"/>
            <w:shd w:val="clear" w:color="auto" w:fill="A6A6A6" w:themeFill="background1" w:themeFillShade="A6"/>
          </w:tcPr>
          <w:p w:rsidR="00214292" w:rsidRPr="004A3190" w:rsidRDefault="00214292" w:rsidP="00E10C70">
            <w:pPr>
              <w:pStyle w:val="bParagraphtext"/>
              <w:rPr>
                <w:rFonts w:cs="Arial"/>
                <w:b/>
                <w:sz w:val="20"/>
                <w:szCs w:val="20"/>
              </w:rPr>
            </w:pPr>
            <w:r w:rsidRPr="004A3190">
              <w:rPr>
                <w:rFonts w:cs="Arial"/>
                <w:b/>
                <w:sz w:val="20"/>
                <w:szCs w:val="20"/>
              </w:rPr>
              <w:t>10 Year contract</w:t>
            </w:r>
          </w:p>
        </w:tc>
      </w:tr>
      <w:tr w:rsidR="00214292" w:rsidRPr="004A3190" w:rsidTr="00E10C70">
        <w:tc>
          <w:tcPr>
            <w:tcW w:w="4632" w:type="dxa"/>
            <w:shd w:val="clear" w:color="auto" w:fill="A6A6A6" w:themeFill="background1" w:themeFillShade="A6"/>
          </w:tcPr>
          <w:p w:rsidR="00214292" w:rsidRPr="004A3190" w:rsidRDefault="00214292" w:rsidP="00E10C70">
            <w:pPr>
              <w:pStyle w:val="bParagraphtext"/>
              <w:rPr>
                <w:rFonts w:cs="Arial"/>
                <w:b/>
                <w:sz w:val="20"/>
                <w:szCs w:val="20"/>
              </w:rPr>
            </w:pPr>
          </w:p>
        </w:tc>
        <w:tc>
          <w:tcPr>
            <w:tcW w:w="1526" w:type="dxa"/>
            <w:shd w:val="clear" w:color="auto" w:fill="A6A6A6" w:themeFill="background1" w:themeFillShade="A6"/>
          </w:tcPr>
          <w:p w:rsidR="00214292" w:rsidRPr="004A3190" w:rsidRDefault="00214292" w:rsidP="00E10C70">
            <w:pPr>
              <w:pStyle w:val="bParagraphtext"/>
              <w:rPr>
                <w:rFonts w:cs="Arial"/>
                <w:b/>
                <w:sz w:val="20"/>
                <w:szCs w:val="20"/>
              </w:rPr>
            </w:pPr>
            <w:r w:rsidRPr="004A3190">
              <w:rPr>
                <w:rFonts w:cs="Arial"/>
                <w:b/>
                <w:sz w:val="20"/>
                <w:szCs w:val="20"/>
              </w:rPr>
              <w:t>£000’s</w:t>
            </w:r>
          </w:p>
        </w:tc>
        <w:tc>
          <w:tcPr>
            <w:tcW w:w="1385" w:type="dxa"/>
            <w:shd w:val="clear" w:color="auto" w:fill="A6A6A6" w:themeFill="background1" w:themeFillShade="A6"/>
          </w:tcPr>
          <w:p w:rsidR="00214292" w:rsidRPr="004A3190" w:rsidRDefault="00214292" w:rsidP="00E10C70">
            <w:pPr>
              <w:pStyle w:val="bParagraphtext"/>
              <w:rPr>
                <w:rFonts w:cs="Arial"/>
                <w:b/>
                <w:sz w:val="20"/>
                <w:szCs w:val="20"/>
              </w:rPr>
            </w:pPr>
            <w:r w:rsidRPr="004A3190">
              <w:rPr>
                <w:rFonts w:cs="Arial"/>
                <w:b/>
                <w:sz w:val="20"/>
                <w:szCs w:val="20"/>
              </w:rPr>
              <w:t>£000’s</w:t>
            </w:r>
          </w:p>
        </w:tc>
        <w:tc>
          <w:tcPr>
            <w:tcW w:w="1385" w:type="dxa"/>
            <w:shd w:val="clear" w:color="auto" w:fill="A6A6A6" w:themeFill="background1" w:themeFillShade="A6"/>
          </w:tcPr>
          <w:p w:rsidR="00214292" w:rsidRPr="004A3190" w:rsidRDefault="00214292" w:rsidP="00E10C70">
            <w:pPr>
              <w:pStyle w:val="bParagraphtext"/>
              <w:rPr>
                <w:rFonts w:cs="Arial"/>
                <w:b/>
                <w:sz w:val="20"/>
                <w:szCs w:val="20"/>
              </w:rPr>
            </w:pPr>
            <w:r w:rsidRPr="004A3190">
              <w:rPr>
                <w:rFonts w:cs="Arial"/>
                <w:b/>
                <w:sz w:val="20"/>
                <w:szCs w:val="20"/>
              </w:rPr>
              <w:t>£000’s</w:t>
            </w:r>
          </w:p>
        </w:tc>
      </w:tr>
      <w:tr w:rsidR="00214292" w:rsidRPr="004A3190" w:rsidTr="00E10C70">
        <w:tc>
          <w:tcPr>
            <w:tcW w:w="4632" w:type="dxa"/>
          </w:tcPr>
          <w:p w:rsidR="00214292" w:rsidRPr="004A3190" w:rsidRDefault="00214292" w:rsidP="00E10C70">
            <w:pPr>
              <w:pStyle w:val="bParagraphtext"/>
              <w:rPr>
                <w:rFonts w:cs="Arial"/>
                <w:sz w:val="20"/>
                <w:szCs w:val="20"/>
              </w:rPr>
            </w:pPr>
            <w:r w:rsidRPr="004A3190">
              <w:rPr>
                <w:rFonts w:cs="Arial"/>
                <w:sz w:val="20"/>
                <w:szCs w:val="20"/>
              </w:rPr>
              <w:t>Implementation</w:t>
            </w:r>
          </w:p>
        </w:tc>
        <w:tc>
          <w:tcPr>
            <w:tcW w:w="1526" w:type="dxa"/>
          </w:tcPr>
          <w:p w:rsidR="00214292" w:rsidRPr="004A3190" w:rsidRDefault="00214292" w:rsidP="00E10C70">
            <w:pPr>
              <w:pStyle w:val="bParagraphtext"/>
              <w:jc w:val="right"/>
              <w:rPr>
                <w:rFonts w:cs="Arial"/>
                <w:sz w:val="20"/>
                <w:szCs w:val="20"/>
              </w:rPr>
            </w:pPr>
            <w:r w:rsidRPr="004A3190">
              <w:rPr>
                <w:rFonts w:cs="Arial"/>
                <w:sz w:val="20"/>
                <w:szCs w:val="20"/>
              </w:rPr>
              <w:t>580</w:t>
            </w:r>
          </w:p>
        </w:tc>
        <w:tc>
          <w:tcPr>
            <w:tcW w:w="1385" w:type="dxa"/>
          </w:tcPr>
          <w:p w:rsidR="00214292" w:rsidRPr="004A3190" w:rsidRDefault="00214292" w:rsidP="00E10C70">
            <w:pPr>
              <w:pStyle w:val="bParagraphtext"/>
              <w:jc w:val="right"/>
              <w:rPr>
                <w:rFonts w:cs="Arial"/>
                <w:sz w:val="20"/>
                <w:szCs w:val="20"/>
              </w:rPr>
            </w:pPr>
            <w:r w:rsidRPr="004A3190">
              <w:rPr>
                <w:rFonts w:cs="Arial"/>
                <w:sz w:val="20"/>
                <w:szCs w:val="20"/>
              </w:rPr>
              <w:t>-</w:t>
            </w:r>
          </w:p>
        </w:tc>
        <w:tc>
          <w:tcPr>
            <w:tcW w:w="1385" w:type="dxa"/>
          </w:tcPr>
          <w:p w:rsidR="00214292" w:rsidRPr="004A3190" w:rsidRDefault="00214292" w:rsidP="00E10C70">
            <w:pPr>
              <w:pStyle w:val="bParagraphtext"/>
              <w:jc w:val="right"/>
              <w:rPr>
                <w:rFonts w:cs="Arial"/>
                <w:sz w:val="20"/>
                <w:szCs w:val="20"/>
              </w:rPr>
            </w:pPr>
            <w:r w:rsidRPr="004A3190">
              <w:rPr>
                <w:rFonts w:cs="Arial"/>
                <w:sz w:val="20"/>
                <w:szCs w:val="20"/>
              </w:rPr>
              <w:t>-</w:t>
            </w:r>
          </w:p>
        </w:tc>
      </w:tr>
      <w:tr w:rsidR="00214292" w:rsidRPr="004A3190" w:rsidTr="00E10C70">
        <w:tc>
          <w:tcPr>
            <w:tcW w:w="4632" w:type="dxa"/>
          </w:tcPr>
          <w:p w:rsidR="00214292" w:rsidRPr="004A3190" w:rsidRDefault="00214292" w:rsidP="00E10C70">
            <w:pPr>
              <w:pStyle w:val="bParagraphtext"/>
              <w:rPr>
                <w:rFonts w:cs="Arial"/>
                <w:sz w:val="20"/>
                <w:szCs w:val="20"/>
              </w:rPr>
            </w:pPr>
            <w:r w:rsidRPr="004A3190">
              <w:rPr>
                <w:rFonts w:cs="Arial"/>
                <w:sz w:val="20"/>
                <w:szCs w:val="20"/>
              </w:rPr>
              <w:t>Contingency</w:t>
            </w:r>
          </w:p>
        </w:tc>
        <w:tc>
          <w:tcPr>
            <w:tcW w:w="1526" w:type="dxa"/>
          </w:tcPr>
          <w:p w:rsidR="00214292" w:rsidRPr="004A3190" w:rsidRDefault="00214292" w:rsidP="00E10C70">
            <w:pPr>
              <w:pStyle w:val="bParagraphtext"/>
              <w:jc w:val="right"/>
              <w:rPr>
                <w:rFonts w:cs="Arial"/>
                <w:sz w:val="20"/>
                <w:szCs w:val="20"/>
              </w:rPr>
            </w:pPr>
            <w:r w:rsidRPr="004A3190">
              <w:rPr>
                <w:rFonts w:cs="Arial"/>
                <w:sz w:val="20"/>
                <w:szCs w:val="20"/>
              </w:rPr>
              <w:t>155</w:t>
            </w:r>
          </w:p>
        </w:tc>
        <w:tc>
          <w:tcPr>
            <w:tcW w:w="1385" w:type="dxa"/>
          </w:tcPr>
          <w:p w:rsidR="00214292" w:rsidRPr="004A3190" w:rsidRDefault="00214292" w:rsidP="00E10C70">
            <w:pPr>
              <w:pStyle w:val="bParagraphtext"/>
              <w:jc w:val="right"/>
              <w:rPr>
                <w:rFonts w:cs="Arial"/>
                <w:sz w:val="20"/>
                <w:szCs w:val="20"/>
              </w:rPr>
            </w:pPr>
            <w:r w:rsidRPr="004A3190">
              <w:rPr>
                <w:rFonts w:cs="Arial"/>
                <w:sz w:val="20"/>
                <w:szCs w:val="20"/>
              </w:rPr>
              <w:t>-</w:t>
            </w:r>
          </w:p>
        </w:tc>
        <w:tc>
          <w:tcPr>
            <w:tcW w:w="1385" w:type="dxa"/>
          </w:tcPr>
          <w:p w:rsidR="00214292" w:rsidRPr="004A3190" w:rsidRDefault="00214292" w:rsidP="00E10C70">
            <w:pPr>
              <w:pStyle w:val="bParagraphtext"/>
              <w:jc w:val="right"/>
              <w:rPr>
                <w:rFonts w:cs="Arial"/>
                <w:sz w:val="20"/>
                <w:szCs w:val="20"/>
              </w:rPr>
            </w:pPr>
            <w:r w:rsidRPr="004A3190">
              <w:rPr>
                <w:rFonts w:cs="Arial"/>
                <w:sz w:val="20"/>
                <w:szCs w:val="20"/>
              </w:rPr>
              <w:t>-</w:t>
            </w:r>
          </w:p>
        </w:tc>
      </w:tr>
      <w:tr w:rsidR="00214292" w:rsidRPr="004A3190" w:rsidTr="00E10C70">
        <w:tc>
          <w:tcPr>
            <w:tcW w:w="4632" w:type="dxa"/>
            <w:shd w:val="clear" w:color="auto" w:fill="A6A6A6" w:themeFill="background1" w:themeFillShade="A6"/>
          </w:tcPr>
          <w:p w:rsidR="00214292" w:rsidRPr="004A3190" w:rsidRDefault="00214292" w:rsidP="00E10C70">
            <w:pPr>
              <w:pStyle w:val="bParagraphtext"/>
              <w:rPr>
                <w:rFonts w:cs="Arial"/>
                <w:b/>
                <w:sz w:val="20"/>
                <w:szCs w:val="20"/>
              </w:rPr>
            </w:pPr>
            <w:r w:rsidRPr="004A3190">
              <w:rPr>
                <w:rFonts w:cs="Arial"/>
                <w:b/>
                <w:sz w:val="20"/>
                <w:szCs w:val="20"/>
              </w:rPr>
              <w:t>Total</w:t>
            </w:r>
          </w:p>
        </w:tc>
        <w:tc>
          <w:tcPr>
            <w:tcW w:w="1526" w:type="dxa"/>
            <w:shd w:val="clear" w:color="auto" w:fill="A6A6A6" w:themeFill="background1" w:themeFillShade="A6"/>
          </w:tcPr>
          <w:p w:rsidR="00214292" w:rsidRPr="004A3190" w:rsidRDefault="00214292" w:rsidP="00E10C70">
            <w:pPr>
              <w:pStyle w:val="bParagraphtext"/>
              <w:jc w:val="right"/>
              <w:rPr>
                <w:rFonts w:cs="Arial"/>
                <w:b/>
                <w:sz w:val="20"/>
                <w:szCs w:val="20"/>
              </w:rPr>
            </w:pPr>
            <w:r w:rsidRPr="004A3190">
              <w:rPr>
                <w:rFonts w:cs="Arial"/>
                <w:b/>
                <w:sz w:val="20"/>
                <w:szCs w:val="20"/>
              </w:rPr>
              <w:t>735</w:t>
            </w:r>
          </w:p>
        </w:tc>
        <w:tc>
          <w:tcPr>
            <w:tcW w:w="1385" w:type="dxa"/>
            <w:shd w:val="clear" w:color="auto" w:fill="A6A6A6" w:themeFill="background1" w:themeFillShade="A6"/>
          </w:tcPr>
          <w:p w:rsidR="00214292" w:rsidRPr="004A3190" w:rsidRDefault="00214292" w:rsidP="00E10C70">
            <w:pPr>
              <w:pStyle w:val="bParagraphtext"/>
              <w:jc w:val="right"/>
              <w:rPr>
                <w:rFonts w:cs="Arial"/>
                <w:b/>
                <w:sz w:val="20"/>
                <w:szCs w:val="20"/>
              </w:rPr>
            </w:pPr>
            <w:r w:rsidRPr="004A3190">
              <w:rPr>
                <w:rFonts w:cs="Arial"/>
                <w:b/>
                <w:sz w:val="20"/>
                <w:szCs w:val="20"/>
              </w:rPr>
              <w:t>-</w:t>
            </w:r>
          </w:p>
        </w:tc>
        <w:tc>
          <w:tcPr>
            <w:tcW w:w="1385" w:type="dxa"/>
            <w:shd w:val="clear" w:color="auto" w:fill="A6A6A6" w:themeFill="background1" w:themeFillShade="A6"/>
          </w:tcPr>
          <w:p w:rsidR="00214292" w:rsidRPr="004A3190" w:rsidRDefault="00214292" w:rsidP="00E10C70">
            <w:pPr>
              <w:pStyle w:val="bParagraphtext"/>
              <w:jc w:val="right"/>
              <w:rPr>
                <w:rFonts w:cs="Arial"/>
                <w:b/>
                <w:sz w:val="20"/>
                <w:szCs w:val="20"/>
              </w:rPr>
            </w:pPr>
            <w:r w:rsidRPr="004A3190">
              <w:rPr>
                <w:rFonts w:cs="Arial"/>
                <w:b/>
                <w:sz w:val="20"/>
                <w:szCs w:val="20"/>
              </w:rPr>
              <w:t>-</w:t>
            </w:r>
          </w:p>
        </w:tc>
      </w:tr>
      <w:tr w:rsidR="00214292" w:rsidRPr="004A3190" w:rsidTr="00E10C70">
        <w:tc>
          <w:tcPr>
            <w:tcW w:w="4632" w:type="dxa"/>
          </w:tcPr>
          <w:p w:rsidR="00214292" w:rsidRPr="004A3190" w:rsidRDefault="00214292" w:rsidP="00E10C70">
            <w:pPr>
              <w:pStyle w:val="bParagraphtext"/>
              <w:rPr>
                <w:rFonts w:cs="Arial"/>
                <w:sz w:val="20"/>
                <w:szCs w:val="20"/>
              </w:rPr>
            </w:pPr>
          </w:p>
        </w:tc>
        <w:tc>
          <w:tcPr>
            <w:tcW w:w="1526" w:type="dxa"/>
          </w:tcPr>
          <w:p w:rsidR="00214292" w:rsidRPr="004A3190" w:rsidRDefault="00214292" w:rsidP="00E10C70">
            <w:pPr>
              <w:pStyle w:val="bParagraphtext"/>
              <w:jc w:val="right"/>
              <w:rPr>
                <w:rFonts w:cs="Arial"/>
                <w:sz w:val="20"/>
                <w:szCs w:val="20"/>
              </w:rPr>
            </w:pPr>
          </w:p>
        </w:tc>
        <w:tc>
          <w:tcPr>
            <w:tcW w:w="1385" w:type="dxa"/>
          </w:tcPr>
          <w:p w:rsidR="00214292" w:rsidRPr="004A3190" w:rsidRDefault="00214292" w:rsidP="00E10C70">
            <w:pPr>
              <w:pStyle w:val="bParagraphtext"/>
              <w:jc w:val="right"/>
              <w:rPr>
                <w:rFonts w:cs="Arial"/>
                <w:sz w:val="20"/>
                <w:szCs w:val="20"/>
              </w:rPr>
            </w:pPr>
          </w:p>
        </w:tc>
        <w:tc>
          <w:tcPr>
            <w:tcW w:w="1385" w:type="dxa"/>
          </w:tcPr>
          <w:p w:rsidR="00214292" w:rsidRPr="004A3190" w:rsidRDefault="00214292" w:rsidP="00E10C70">
            <w:pPr>
              <w:pStyle w:val="bParagraphtext"/>
              <w:jc w:val="right"/>
              <w:rPr>
                <w:rFonts w:cs="Arial"/>
                <w:sz w:val="20"/>
                <w:szCs w:val="20"/>
              </w:rPr>
            </w:pPr>
          </w:p>
        </w:tc>
      </w:tr>
      <w:tr w:rsidR="00214292" w:rsidRPr="004A3190" w:rsidTr="00E10C70">
        <w:tc>
          <w:tcPr>
            <w:tcW w:w="4632" w:type="dxa"/>
          </w:tcPr>
          <w:p w:rsidR="00214292" w:rsidRPr="004A3190" w:rsidRDefault="00214292" w:rsidP="00E10C70">
            <w:pPr>
              <w:pStyle w:val="bParagraphtext"/>
              <w:rPr>
                <w:rFonts w:cs="Arial"/>
                <w:sz w:val="20"/>
                <w:szCs w:val="20"/>
              </w:rPr>
            </w:pPr>
            <w:r w:rsidRPr="004A3190">
              <w:rPr>
                <w:rFonts w:cs="Arial"/>
                <w:sz w:val="20"/>
                <w:szCs w:val="20"/>
              </w:rPr>
              <w:t>Annual running costs</w:t>
            </w:r>
          </w:p>
        </w:tc>
        <w:tc>
          <w:tcPr>
            <w:tcW w:w="1526" w:type="dxa"/>
          </w:tcPr>
          <w:p w:rsidR="00214292" w:rsidRPr="004A3190" w:rsidRDefault="00214292" w:rsidP="00E10C70">
            <w:pPr>
              <w:pStyle w:val="bParagraphtext"/>
              <w:jc w:val="right"/>
              <w:rPr>
                <w:rFonts w:cs="Arial"/>
                <w:sz w:val="20"/>
                <w:szCs w:val="20"/>
              </w:rPr>
            </w:pPr>
            <w:r w:rsidRPr="004A3190">
              <w:rPr>
                <w:rFonts w:cs="Arial"/>
                <w:sz w:val="20"/>
                <w:szCs w:val="20"/>
              </w:rPr>
              <w:t>-</w:t>
            </w:r>
          </w:p>
        </w:tc>
        <w:tc>
          <w:tcPr>
            <w:tcW w:w="1385" w:type="dxa"/>
          </w:tcPr>
          <w:p w:rsidR="00214292" w:rsidRPr="004A3190" w:rsidRDefault="00594672" w:rsidP="00E10C70">
            <w:pPr>
              <w:pStyle w:val="bParagraphtext"/>
              <w:jc w:val="right"/>
              <w:rPr>
                <w:rFonts w:cs="Arial"/>
                <w:sz w:val="20"/>
                <w:szCs w:val="20"/>
              </w:rPr>
            </w:pPr>
            <w:r>
              <w:rPr>
                <w:rFonts w:cs="Arial"/>
                <w:sz w:val="20"/>
                <w:szCs w:val="20"/>
              </w:rPr>
              <w:t>115</w:t>
            </w:r>
          </w:p>
        </w:tc>
        <w:tc>
          <w:tcPr>
            <w:tcW w:w="1385" w:type="dxa"/>
          </w:tcPr>
          <w:p w:rsidR="00214292" w:rsidRPr="004A3190" w:rsidRDefault="00594672" w:rsidP="00E10C70">
            <w:pPr>
              <w:pStyle w:val="bParagraphtext"/>
              <w:jc w:val="right"/>
              <w:rPr>
                <w:rFonts w:cs="Arial"/>
                <w:sz w:val="20"/>
                <w:szCs w:val="20"/>
              </w:rPr>
            </w:pPr>
            <w:r>
              <w:rPr>
                <w:rFonts w:cs="Arial"/>
                <w:sz w:val="20"/>
                <w:szCs w:val="20"/>
              </w:rPr>
              <w:t>1,055</w:t>
            </w:r>
          </w:p>
        </w:tc>
      </w:tr>
      <w:tr w:rsidR="00214292" w:rsidRPr="004A3190" w:rsidTr="00E10C70">
        <w:tc>
          <w:tcPr>
            <w:tcW w:w="4632" w:type="dxa"/>
          </w:tcPr>
          <w:p w:rsidR="00214292" w:rsidRPr="004A3190" w:rsidRDefault="00214292" w:rsidP="00E10C70">
            <w:pPr>
              <w:pStyle w:val="bParagraphtext"/>
              <w:rPr>
                <w:rFonts w:cs="Arial"/>
                <w:sz w:val="20"/>
                <w:szCs w:val="20"/>
              </w:rPr>
            </w:pPr>
          </w:p>
        </w:tc>
        <w:tc>
          <w:tcPr>
            <w:tcW w:w="1526" w:type="dxa"/>
          </w:tcPr>
          <w:p w:rsidR="00214292" w:rsidRPr="004A3190" w:rsidRDefault="00214292" w:rsidP="00E10C70">
            <w:pPr>
              <w:pStyle w:val="bParagraphtext"/>
              <w:jc w:val="right"/>
              <w:rPr>
                <w:rFonts w:cs="Arial"/>
                <w:sz w:val="20"/>
                <w:szCs w:val="20"/>
              </w:rPr>
            </w:pPr>
          </w:p>
        </w:tc>
        <w:tc>
          <w:tcPr>
            <w:tcW w:w="1385" w:type="dxa"/>
          </w:tcPr>
          <w:p w:rsidR="00214292" w:rsidRPr="004A3190" w:rsidRDefault="00214292" w:rsidP="00E10C70">
            <w:pPr>
              <w:pStyle w:val="bParagraphtext"/>
              <w:jc w:val="right"/>
              <w:rPr>
                <w:rFonts w:cs="Arial"/>
                <w:sz w:val="20"/>
                <w:szCs w:val="20"/>
              </w:rPr>
            </w:pPr>
          </w:p>
        </w:tc>
        <w:tc>
          <w:tcPr>
            <w:tcW w:w="1385" w:type="dxa"/>
          </w:tcPr>
          <w:p w:rsidR="00214292" w:rsidRPr="004A3190" w:rsidRDefault="00214292" w:rsidP="00E10C70">
            <w:pPr>
              <w:pStyle w:val="bParagraphtext"/>
              <w:jc w:val="right"/>
              <w:rPr>
                <w:rFonts w:cs="Arial"/>
                <w:sz w:val="20"/>
                <w:szCs w:val="20"/>
              </w:rPr>
            </w:pPr>
          </w:p>
        </w:tc>
      </w:tr>
      <w:tr w:rsidR="00214292" w:rsidRPr="004A3190" w:rsidTr="00E10C70">
        <w:tc>
          <w:tcPr>
            <w:tcW w:w="4632" w:type="dxa"/>
          </w:tcPr>
          <w:p w:rsidR="00214292" w:rsidRPr="004A3190" w:rsidRDefault="00214292" w:rsidP="00E10C70">
            <w:pPr>
              <w:pStyle w:val="bParagraphtext"/>
              <w:rPr>
                <w:rFonts w:cs="Arial"/>
                <w:sz w:val="20"/>
                <w:szCs w:val="20"/>
              </w:rPr>
            </w:pPr>
            <w:r w:rsidRPr="004A3190">
              <w:rPr>
                <w:rFonts w:cs="Arial"/>
                <w:sz w:val="20"/>
                <w:szCs w:val="20"/>
              </w:rPr>
              <w:t>Savings</w:t>
            </w:r>
          </w:p>
        </w:tc>
        <w:tc>
          <w:tcPr>
            <w:tcW w:w="1526" w:type="dxa"/>
          </w:tcPr>
          <w:p w:rsidR="00214292" w:rsidRPr="004A3190" w:rsidRDefault="00214292" w:rsidP="00E10C70">
            <w:pPr>
              <w:pStyle w:val="bParagraphtext"/>
              <w:jc w:val="right"/>
              <w:rPr>
                <w:rFonts w:cs="Arial"/>
                <w:sz w:val="20"/>
                <w:szCs w:val="20"/>
              </w:rPr>
            </w:pPr>
            <w:r w:rsidRPr="004A3190">
              <w:rPr>
                <w:rFonts w:cs="Arial"/>
                <w:sz w:val="20"/>
                <w:szCs w:val="20"/>
              </w:rPr>
              <w:t>-</w:t>
            </w:r>
          </w:p>
        </w:tc>
        <w:tc>
          <w:tcPr>
            <w:tcW w:w="1385" w:type="dxa"/>
          </w:tcPr>
          <w:p w:rsidR="00214292" w:rsidRPr="004A3190" w:rsidRDefault="00214292" w:rsidP="00E10C70">
            <w:pPr>
              <w:pStyle w:val="bParagraphtext"/>
              <w:jc w:val="right"/>
              <w:rPr>
                <w:rFonts w:cs="Arial"/>
                <w:sz w:val="20"/>
                <w:szCs w:val="20"/>
              </w:rPr>
            </w:pPr>
            <w:r w:rsidRPr="004A3190">
              <w:rPr>
                <w:rFonts w:cs="Arial"/>
                <w:sz w:val="20"/>
                <w:szCs w:val="20"/>
              </w:rPr>
              <w:t>(201)</w:t>
            </w:r>
          </w:p>
        </w:tc>
        <w:tc>
          <w:tcPr>
            <w:tcW w:w="1385" w:type="dxa"/>
          </w:tcPr>
          <w:p w:rsidR="00214292" w:rsidRPr="004A3190" w:rsidRDefault="00214292" w:rsidP="00E10C70">
            <w:pPr>
              <w:pStyle w:val="bParagraphtext"/>
              <w:jc w:val="right"/>
              <w:rPr>
                <w:rFonts w:cs="Arial"/>
                <w:sz w:val="20"/>
                <w:szCs w:val="20"/>
              </w:rPr>
            </w:pPr>
            <w:r w:rsidRPr="004A3190">
              <w:rPr>
                <w:rFonts w:cs="Arial"/>
                <w:sz w:val="20"/>
                <w:szCs w:val="20"/>
              </w:rPr>
              <w:t>(1,914)</w:t>
            </w:r>
          </w:p>
        </w:tc>
      </w:tr>
      <w:tr w:rsidR="00214292" w:rsidRPr="004A3190" w:rsidTr="00E10C70">
        <w:tc>
          <w:tcPr>
            <w:tcW w:w="4632" w:type="dxa"/>
          </w:tcPr>
          <w:p w:rsidR="00214292" w:rsidRPr="004A3190" w:rsidRDefault="00214292" w:rsidP="00E10C70">
            <w:pPr>
              <w:pStyle w:val="bParagraphtext"/>
              <w:rPr>
                <w:rFonts w:cs="Arial"/>
                <w:sz w:val="20"/>
                <w:szCs w:val="20"/>
              </w:rPr>
            </w:pPr>
          </w:p>
        </w:tc>
        <w:tc>
          <w:tcPr>
            <w:tcW w:w="1526" w:type="dxa"/>
          </w:tcPr>
          <w:p w:rsidR="00214292" w:rsidRPr="004A3190" w:rsidRDefault="00214292" w:rsidP="00E10C70">
            <w:pPr>
              <w:pStyle w:val="bParagraphtext"/>
              <w:jc w:val="right"/>
              <w:rPr>
                <w:rFonts w:cs="Arial"/>
                <w:sz w:val="20"/>
                <w:szCs w:val="20"/>
              </w:rPr>
            </w:pPr>
          </w:p>
        </w:tc>
        <w:tc>
          <w:tcPr>
            <w:tcW w:w="1385" w:type="dxa"/>
          </w:tcPr>
          <w:p w:rsidR="00214292" w:rsidRPr="004A3190" w:rsidRDefault="00214292" w:rsidP="00E10C70">
            <w:pPr>
              <w:pStyle w:val="bParagraphtext"/>
              <w:jc w:val="right"/>
              <w:rPr>
                <w:rFonts w:cs="Arial"/>
                <w:sz w:val="20"/>
                <w:szCs w:val="20"/>
              </w:rPr>
            </w:pPr>
          </w:p>
        </w:tc>
        <w:tc>
          <w:tcPr>
            <w:tcW w:w="1385" w:type="dxa"/>
          </w:tcPr>
          <w:p w:rsidR="00214292" w:rsidRPr="004A3190" w:rsidRDefault="00214292" w:rsidP="00E10C70">
            <w:pPr>
              <w:pStyle w:val="bParagraphtext"/>
              <w:jc w:val="right"/>
              <w:rPr>
                <w:rFonts w:cs="Arial"/>
                <w:sz w:val="20"/>
                <w:szCs w:val="20"/>
              </w:rPr>
            </w:pPr>
          </w:p>
        </w:tc>
      </w:tr>
      <w:tr w:rsidR="00214292" w:rsidRPr="004A3190" w:rsidTr="00E10C70">
        <w:tc>
          <w:tcPr>
            <w:tcW w:w="4632" w:type="dxa"/>
          </w:tcPr>
          <w:p w:rsidR="00214292" w:rsidRPr="004A3190" w:rsidRDefault="00214292" w:rsidP="00E10C70">
            <w:pPr>
              <w:pStyle w:val="bParagraphtext"/>
              <w:rPr>
                <w:rFonts w:cs="Arial"/>
                <w:sz w:val="20"/>
                <w:szCs w:val="20"/>
              </w:rPr>
            </w:pPr>
            <w:r w:rsidRPr="004A3190">
              <w:rPr>
                <w:rFonts w:cs="Arial"/>
                <w:sz w:val="20"/>
                <w:szCs w:val="20"/>
              </w:rPr>
              <w:t xml:space="preserve">Pay back </w:t>
            </w:r>
          </w:p>
        </w:tc>
        <w:tc>
          <w:tcPr>
            <w:tcW w:w="4296" w:type="dxa"/>
            <w:gridSpan w:val="3"/>
          </w:tcPr>
          <w:p w:rsidR="00214292" w:rsidRPr="004A3190" w:rsidRDefault="00214292" w:rsidP="00E10C70">
            <w:pPr>
              <w:pStyle w:val="bParagraphtext"/>
              <w:jc w:val="center"/>
              <w:rPr>
                <w:rFonts w:cs="Arial"/>
                <w:sz w:val="20"/>
                <w:szCs w:val="20"/>
              </w:rPr>
            </w:pPr>
            <w:r w:rsidRPr="004A3190">
              <w:rPr>
                <w:rFonts w:cs="Arial"/>
                <w:sz w:val="20"/>
                <w:szCs w:val="20"/>
              </w:rPr>
              <w:t>Year 4</w:t>
            </w:r>
          </w:p>
        </w:tc>
      </w:tr>
      <w:tr w:rsidR="00214292" w:rsidRPr="004A3190" w:rsidTr="00E10C70">
        <w:tc>
          <w:tcPr>
            <w:tcW w:w="4632" w:type="dxa"/>
          </w:tcPr>
          <w:p w:rsidR="00214292" w:rsidRPr="004A3190" w:rsidRDefault="00214292" w:rsidP="00E10C70">
            <w:pPr>
              <w:pStyle w:val="bParagraphtext"/>
              <w:rPr>
                <w:rFonts w:cs="Arial"/>
                <w:sz w:val="20"/>
                <w:szCs w:val="20"/>
              </w:rPr>
            </w:pPr>
            <w:r w:rsidRPr="004A3190">
              <w:rPr>
                <w:rFonts w:cs="Arial"/>
                <w:sz w:val="20"/>
                <w:szCs w:val="20"/>
              </w:rPr>
              <w:t>Simple rate of return (including contingency)</w:t>
            </w:r>
          </w:p>
        </w:tc>
        <w:tc>
          <w:tcPr>
            <w:tcW w:w="4296" w:type="dxa"/>
            <w:gridSpan w:val="3"/>
          </w:tcPr>
          <w:p w:rsidR="00214292" w:rsidRPr="004A3190" w:rsidRDefault="00214292" w:rsidP="00E10C70">
            <w:pPr>
              <w:pStyle w:val="bParagraphtext"/>
              <w:jc w:val="center"/>
              <w:rPr>
                <w:rFonts w:cs="Arial"/>
                <w:sz w:val="20"/>
                <w:szCs w:val="20"/>
              </w:rPr>
            </w:pPr>
            <w:r w:rsidRPr="004A3190">
              <w:rPr>
                <w:rFonts w:cs="Arial"/>
                <w:sz w:val="20"/>
                <w:szCs w:val="20"/>
              </w:rPr>
              <w:t>27%</w:t>
            </w:r>
          </w:p>
        </w:tc>
      </w:tr>
      <w:tr w:rsidR="00214292" w:rsidRPr="004A3190" w:rsidTr="00E10C70">
        <w:tc>
          <w:tcPr>
            <w:tcW w:w="4632" w:type="dxa"/>
          </w:tcPr>
          <w:p w:rsidR="00214292" w:rsidRPr="004A3190" w:rsidRDefault="00214292" w:rsidP="00E10C70">
            <w:pPr>
              <w:pStyle w:val="bParagraphtext"/>
              <w:rPr>
                <w:rFonts w:cs="Arial"/>
                <w:sz w:val="20"/>
                <w:szCs w:val="20"/>
              </w:rPr>
            </w:pPr>
            <w:r w:rsidRPr="004A3190">
              <w:rPr>
                <w:rFonts w:cs="Arial"/>
                <w:sz w:val="20"/>
                <w:szCs w:val="20"/>
              </w:rPr>
              <w:t>Simple rate of return (excluding contingency)</w:t>
            </w:r>
          </w:p>
        </w:tc>
        <w:tc>
          <w:tcPr>
            <w:tcW w:w="4296" w:type="dxa"/>
            <w:gridSpan w:val="3"/>
          </w:tcPr>
          <w:p w:rsidR="00214292" w:rsidRPr="004A3190" w:rsidRDefault="00214292" w:rsidP="00E10C70">
            <w:pPr>
              <w:pStyle w:val="bParagraphtext"/>
              <w:jc w:val="center"/>
              <w:rPr>
                <w:rFonts w:cs="Arial"/>
                <w:sz w:val="20"/>
                <w:szCs w:val="20"/>
              </w:rPr>
            </w:pPr>
            <w:r w:rsidRPr="004A3190">
              <w:rPr>
                <w:rFonts w:cs="Arial"/>
                <w:sz w:val="20"/>
                <w:szCs w:val="20"/>
              </w:rPr>
              <w:t>35%</w:t>
            </w:r>
          </w:p>
        </w:tc>
      </w:tr>
    </w:tbl>
    <w:p w:rsidR="00214292" w:rsidRDefault="00214292" w:rsidP="004A3190"/>
    <w:p w:rsidR="0048062D" w:rsidRDefault="00214292" w:rsidP="00206AF2">
      <w:pPr>
        <w:pStyle w:val="ListParagraph"/>
      </w:pPr>
      <w:r>
        <w:t xml:space="preserve">With a pay back of 4 years and a simple rate of return of between 27% and 35% the investment is financially viable. Funding could be </w:t>
      </w:r>
      <w:proofErr w:type="spellStart"/>
      <w:r>
        <w:t>vired</w:t>
      </w:r>
      <w:proofErr w:type="spellEnd"/>
      <w:r>
        <w:t xml:space="preserve"> from underspends elsewhere within the capital programme. </w:t>
      </w:r>
    </w:p>
    <w:p w:rsidR="00C31AC8" w:rsidRPr="00FA452D" w:rsidRDefault="00C31AC8" w:rsidP="00206AF2">
      <w:pPr>
        <w:pStyle w:val="ListParagraph"/>
      </w:pPr>
      <w:r>
        <w:t>In Annexe 1, the annual revenue savings shown on the operation of the service, including ICT will be £201k. Over the life of the 10 year contract the savings will be £1.9m given that some of the savings will not be realised until Year 2 following implementation.</w:t>
      </w:r>
    </w:p>
    <w:p w:rsidR="0052609E" w:rsidRPr="00FA452D" w:rsidRDefault="0052609E" w:rsidP="0052609E">
      <w:pPr>
        <w:rPr>
          <w:rFonts w:cs="Arial"/>
          <w:b/>
        </w:rPr>
      </w:pPr>
      <w:r w:rsidRPr="00FA452D">
        <w:rPr>
          <w:rFonts w:cs="Arial"/>
          <w:b/>
        </w:rPr>
        <w:t>Legal Implications</w:t>
      </w:r>
    </w:p>
    <w:p w:rsidR="00FA452D" w:rsidRPr="00FA452D" w:rsidRDefault="00FA452D" w:rsidP="00FA452D">
      <w:pPr>
        <w:pStyle w:val="ListParagraph"/>
        <w:rPr>
          <w:rFonts w:ascii="Calibri" w:hAnsi="Calibri" w:cs="Calibri"/>
        </w:rPr>
      </w:pPr>
      <w:r w:rsidRPr="00FA452D">
        <w:t>The value of this contract over its lifetime is higher than the EU threshold for Goods and Services and the award of the contract therefore is governed by the Public Contract Regulations 2015. The award is also subject to the Council’s Constitution including the Contract Rules, the Council’s Financial Rules and the Scheme of Delegation.</w:t>
      </w:r>
    </w:p>
    <w:p w:rsidR="00677480" w:rsidRPr="00FA452D" w:rsidRDefault="00677480" w:rsidP="00677480">
      <w:pPr>
        <w:pStyle w:val="Heading1"/>
        <w:rPr>
          <w:color w:val="auto"/>
        </w:rPr>
      </w:pPr>
      <w:r w:rsidRPr="00FA452D">
        <w:rPr>
          <w:color w:val="auto"/>
        </w:rPr>
        <w:t>Level of risk</w:t>
      </w:r>
    </w:p>
    <w:p w:rsidR="0052609E" w:rsidRPr="00C30C5D" w:rsidRDefault="0052609E" w:rsidP="00C30C5D">
      <w:pPr>
        <w:pStyle w:val="ListParagraph"/>
        <w:rPr>
          <w:color w:val="auto"/>
        </w:rPr>
      </w:pPr>
      <w:r w:rsidRPr="00FA452D">
        <w:t>The procurement of a Revenues and Benefits management system is a complex project and has many risks. The main business and services risks associated with the</w:t>
      </w:r>
      <w:r w:rsidR="00C30C5D">
        <w:t xml:space="preserve"> pr</w:t>
      </w:r>
      <w:r w:rsidR="00771CE4">
        <w:t>oject are detailed in Appendix 2</w:t>
      </w:r>
      <w:r w:rsidR="00C30C5D">
        <w:t>.</w:t>
      </w:r>
      <w:r w:rsidRPr="00FA452D">
        <w:t xml:space="preserve"> </w:t>
      </w:r>
    </w:p>
    <w:p w:rsidR="00677480" w:rsidRPr="006539A9" w:rsidRDefault="00677480" w:rsidP="00677480">
      <w:pPr>
        <w:pStyle w:val="Heading1"/>
        <w:rPr>
          <w:color w:val="auto"/>
        </w:rPr>
      </w:pPr>
      <w:r w:rsidRPr="006539A9">
        <w:rPr>
          <w:color w:val="auto"/>
        </w:rPr>
        <w:t xml:space="preserve">Equalities impact </w:t>
      </w:r>
    </w:p>
    <w:p w:rsidR="00E63693" w:rsidRPr="001356F1" w:rsidRDefault="00677480" w:rsidP="00206AF2">
      <w:pPr>
        <w:pStyle w:val="ListParagraph"/>
      </w:pPr>
      <w:r w:rsidRPr="005C7C4D">
        <w:t xml:space="preserve">An Equalities Impact Assessment is not deemed necessary for this project. </w:t>
      </w:r>
      <w:r w:rsidR="00F838C2" w:rsidRPr="005C7C4D">
        <w:t>As part of the te</w:t>
      </w:r>
      <w:r w:rsidR="005C7C4D" w:rsidRPr="005C7C4D">
        <w:t>nder process the specification covered the indication of a vulnerable person so that anyone looking at the account can immediately see any issues or support needed.</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10FC7" w:rsidP="00A46E98">
            <w:r>
              <w:t>Tanya Bandekar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10FC7" w:rsidP="00A46E98">
            <w:r>
              <w:t>Service Manager, Revenues and Benefits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10FC7"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10FC7" w:rsidP="00A46E98">
            <w:r>
              <w:t>01865 252281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10FC7" w:rsidP="00A46E98">
            <w:pPr>
              <w:rPr>
                <w:rStyle w:val="Hyperlink"/>
                <w:color w:val="000000"/>
              </w:rPr>
            </w:pPr>
            <w:r>
              <w:rPr>
                <w:rStyle w:val="Hyperlink"/>
                <w:color w:val="000000"/>
              </w:rPr>
              <w:t>tbandekar@oxford.gov.uk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A3190" w:rsidRDefault="004A3190" w:rsidP="0093067A"/>
    <w:sectPr w:rsidR="004A3190" w:rsidSect="008A2B97">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97" w:rsidRDefault="008A2B97" w:rsidP="004A6D2F">
      <w:r>
        <w:separator/>
      </w:r>
    </w:p>
  </w:endnote>
  <w:endnote w:type="continuationSeparator" w:id="0">
    <w:p w:rsidR="008A2B97" w:rsidRDefault="008A2B9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70" w:rsidRDefault="00E10C70" w:rsidP="004A6D2F">
    <w:pPr>
      <w:pStyle w:val="Footer"/>
    </w:pPr>
    <w:r>
      <w:t>Do not use a footer or page numbers.</w:t>
    </w:r>
  </w:p>
  <w:p w:rsidR="00E10C70" w:rsidRDefault="00E10C70" w:rsidP="004A6D2F">
    <w:pPr>
      <w:pStyle w:val="Footer"/>
    </w:pPr>
  </w:p>
  <w:p w:rsidR="00E10C70" w:rsidRDefault="00E10C7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70" w:rsidRDefault="00E10C7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97" w:rsidRDefault="008A2B97" w:rsidP="004A6D2F">
      <w:r>
        <w:separator/>
      </w:r>
    </w:p>
  </w:footnote>
  <w:footnote w:type="continuationSeparator" w:id="0">
    <w:p w:rsidR="008A2B97" w:rsidRDefault="008A2B9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70" w:rsidRDefault="00E10C70"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F342F7"/>
    <w:multiLevelType w:val="multilevel"/>
    <w:tmpl w:val="68725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FC0663"/>
    <w:multiLevelType w:val="multilevel"/>
    <w:tmpl w:val="7E503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B07820"/>
    <w:multiLevelType w:val="hybridMultilevel"/>
    <w:tmpl w:val="47061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F22DD2"/>
    <w:multiLevelType w:val="hybridMultilevel"/>
    <w:tmpl w:val="1592DC5E"/>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B273094"/>
    <w:multiLevelType w:val="hybridMultilevel"/>
    <w:tmpl w:val="D8E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2A0D54"/>
    <w:multiLevelType w:val="multilevel"/>
    <w:tmpl w:val="E8BCF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EE4C43"/>
    <w:multiLevelType w:val="hybridMultilevel"/>
    <w:tmpl w:val="B5449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393E4D"/>
    <w:multiLevelType w:val="multilevel"/>
    <w:tmpl w:val="9182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154A97"/>
    <w:multiLevelType w:val="multilevel"/>
    <w:tmpl w:val="6FD4A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62655"/>
    <w:multiLevelType w:val="hybridMultilevel"/>
    <w:tmpl w:val="65EC9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4F26212"/>
    <w:multiLevelType w:val="hybridMultilevel"/>
    <w:tmpl w:val="07BE61F6"/>
    <w:lvl w:ilvl="0" w:tplc="08090001">
      <w:start w:val="1"/>
      <w:numFmt w:val="bullet"/>
      <w:lvlText w:val=""/>
      <w:lvlJc w:val="left"/>
      <w:pPr>
        <w:ind w:left="3840" w:hanging="360"/>
      </w:pPr>
      <w:rPr>
        <w:rFonts w:ascii="Symbol" w:hAnsi="Symbol" w:hint="default"/>
      </w:rPr>
    </w:lvl>
    <w:lvl w:ilvl="1" w:tplc="08090003">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4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B82D6A"/>
    <w:multiLevelType w:val="hybridMultilevel"/>
    <w:tmpl w:val="CCB28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8365C6"/>
    <w:multiLevelType w:val="multilevel"/>
    <w:tmpl w:val="E67CE66C"/>
    <w:numStyleLink w:val="StyleNumberedLeft0cmHanging075cm"/>
  </w:abstractNum>
  <w:abstractNum w:abstractNumId="45" w15:restartNumberingAfterBreak="0">
    <w:nsid w:val="7AFB4541"/>
    <w:multiLevelType w:val="multilevel"/>
    <w:tmpl w:val="16C8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1"/>
  </w:num>
  <w:num w:numId="3">
    <w:abstractNumId w:val="29"/>
  </w:num>
  <w:num w:numId="4">
    <w:abstractNumId w:val="23"/>
  </w:num>
  <w:num w:numId="5">
    <w:abstractNumId w:val="37"/>
  </w:num>
  <w:num w:numId="6">
    <w:abstractNumId w:val="43"/>
  </w:num>
  <w:num w:numId="7">
    <w:abstractNumId w:val="28"/>
  </w:num>
  <w:num w:numId="8">
    <w:abstractNumId w:val="25"/>
  </w:num>
  <w:num w:numId="9">
    <w:abstractNumId w:val="13"/>
  </w:num>
  <w:num w:numId="10">
    <w:abstractNumId w:val="18"/>
  </w:num>
  <w:num w:numId="11">
    <w:abstractNumId w:val="32"/>
  </w:num>
  <w:num w:numId="12">
    <w:abstractNumId w:val="30"/>
  </w:num>
  <w:num w:numId="13">
    <w:abstractNumId w:val="10"/>
  </w:num>
  <w:num w:numId="14">
    <w:abstractNumId w:val="44"/>
  </w:num>
  <w:num w:numId="15">
    <w:abstractNumId w:val="20"/>
  </w:num>
  <w:num w:numId="16">
    <w:abstractNumId w:val="11"/>
  </w:num>
  <w:num w:numId="17">
    <w:abstractNumId w:val="36"/>
  </w:num>
  <w:num w:numId="18">
    <w:abstractNumId w:val="12"/>
  </w:num>
  <w:num w:numId="19">
    <w:abstractNumId w:val="38"/>
  </w:num>
  <w:num w:numId="20">
    <w:abstractNumId w:val="21"/>
  </w:num>
  <w:num w:numId="21">
    <w:abstractNumId w:val="27"/>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16"/>
  </w:num>
  <w:num w:numId="36">
    <w:abstractNumId w:val="31"/>
  </w:num>
  <w:num w:numId="37">
    <w:abstractNumId w:val="45"/>
  </w:num>
  <w:num w:numId="38">
    <w:abstractNumId w:val="15"/>
  </w:num>
  <w:num w:numId="39">
    <w:abstractNumId w:val="24"/>
  </w:num>
  <w:num w:numId="40">
    <w:abstractNumId w:val="33"/>
  </w:num>
  <w:num w:numId="41">
    <w:abstractNumId w:val="44"/>
  </w:num>
  <w:num w:numId="42">
    <w:abstractNumId w:val="22"/>
  </w:num>
  <w:num w:numId="43">
    <w:abstractNumId w:val="42"/>
  </w:num>
  <w:num w:numId="44">
    <w:abstractNumId w:val="19"/>
  </w:num>
  <w:num w:numId="45">
    <w:abstractNumId w:val="26"/>
  </w:num>
  <w:num w:numId="46">
    <w:abstractNumId w:val="17"/>
  </w:num>
  <w:num w:numId="4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97"/>
    <w:rsid w:val="000117D4"/>
    <w:rsid w:val="000314D7"/>
    <w:rsid w:val="00045F8B"/>
    <w:rsid w:val="00046D2B"/>
    <w:rsid w:val="00056263"/>
    <w:rsid w:val="00064D8A"/>
    <w:rsid w:val="00064F82"/>
    <w:rsid w:val="00066510"/>
    <w:rsid w:val="00075B37"/>
    <w:rsid w:val="00077157"/>
    <w:rsid w:val="00077523"/>
    <w:rsid w:val="00084236"/>
    <w:rsid w:val="000C089F"/>
    <w:rsid w:val="000C3928"/>
    <w:rsid w:val="000C5E8E"/>
    <w:rsid w:val="000D00FC"/>
    <w:rsid w:val="000F4751"/>
    <w:rsid w:val="0010524C"/>
    <w:rsid w:val="00107D4E"/>
    <w:rsid w:val="00111FB1"/>
    <w:rsid w:val="00113418"/>
    <w:rsid w:val="00126E86"/>
    <w:rsid w:val="001356F1"/>
    <w:rsid w:val="00136994"/>
    <w:rsid w:val="0014128E"/>
    <w:rsid w:val="001508C0"/>
    <w:rsid w:val="00151888"/>
    <w:rsid w:val="001606B5"/>
    <w:rsid w:val="00160EE4"/>
    <w:rsid w:val="001638B5"/>
    <w:rsid w:val="00170A2D"/>
    <w:rsid w:val="00170CB1"/>
    <w:rsid w:val="001752AD"/>
    <w:rsid w:val="00176AD8"/>
    <w:rsid w:val="001808BC"/>
    <w:rsid w:val="00182B81"/>
    <w:rsid w:val="0018619D"/>
    <w:rsid w:val="001A011E"/>
    <w:rsid w:val="001A066A"/>
    <w:rsid w:val="001A13E6"/>
    <w:rsid w:val="001A5731"/>
    <w:rsid w:val="001B30AD"/>
    <w:rsid w:val="001B42C3"/>
    <w:rsid w:val="001C5D5E"/>
    <w:rsid w:val="001D3B93"/>
    <w:rsid w:val="001D678D"/>
    <w:rsid w:val="001E03F8"/>
    <w:rsid w:val="001E1678"/>
    <w:rsid w:val="001E3376"/>
    <w:rsid w:val="002069B3"/>
    <w:rsid w:val="00206AF2"/>
    <w:rsid w:val="00214292"/>
    <w:rsid w:val="002329CF"/>
    <w:rsid w:val="00232F5B"/>
    <w:rsid w:val="00246ECE"/>
    <w:rsid w:val="00247C29"/>
    <w:rsid w:val="00260467"/>
    <w:rsid w:val="002627E3"/>
    <w:rsid w:val="00263EA3"/>
    <w:rsid w:val="00266943"/>
    <w:rsid w:val="002702FC"/>
    <w:rsid w:val="00270967"/>
    <w:rsid w:val="00284F85"/>
    <w:rsid w:val="00290915"/>
    <w:rsid w:val="002938E3"/>
    <w:rsid w:val="00295B25"/>
    <w:rsid w:val="002A22E2"/>
    <w:rsid w:val="002C64F7"/>
    <w:rsid w:val="002D40E9"/>
    <w:rsid w:val="002D5133"/>
    <w:rsid w:val="002F178C"/>
    <w:rsid w:val="002F41F2"/>
    <w:rsid w:val="002F5A21"/>
    <w:rsid w:val="00301BF3"/>
    <w:rsid w:val="0030208D"/>
    <w:rsid w:val="00323418"/>
    <w:rsid w:val="003248D5"/>
    <w:rsid w:val="00334A08"/>
    <w:rsid w:val="003357BF"/>
    <w:rsid w:val="003443DF"/>
    <w:rsid w:val="00350387"/>
    <w:rsid w:val="00364FAD"/>
    <w:rsid w:val="0036738F"/>
    <w:rsid w:val="0036759C"/>
    <w:rsid w:val="00367AE5"/>
    <w:rsid w:val="00367D71"/>
    <w:rsid w:val="0038150A"/>
    <w:rsid w:val="003837D3"/>
    <w:rsid w:val="003874C3"/>
    <w:rsid w:val="003B3B47"/>
    <w:rsid w:val="003B6E75"/>
    <w:rsid w:val="003B7DA1"/>
    <w:rsid w:val="003C3F5F"/>
    <w:rsid w:val="003C6603"/>
    <w:rsid w:val="003D0379"/>
    <w:rsid w:val="003D2574"/>
    <w:rsid w:val="003D4C59"/>
    <w:rsid w:val="003E24B7"/>
    <w:rsid w:val="003F3BB6"/>
    <w:rsid w:val="003F4267"/>
    <w:rsid w:val="003F49F1"/>
    <w:rsid w:val="003F5CC4"/>
    <w:rsid w:val="00404032"/>
    <w:rsid w:val="0040736F"/>
    <w:rsid w:val="00412641"/>
    <w:rsid w:val="00412C1F"/>
    <w:rsid w:val="00421CB2"/>
    <w:rsid w:val="004268B9"/>
    <w:rsid w:val="004336B3"/>
    <w:rsid w:val="00433B96"/>
    <w:rsid w:val="00442CCF"/>
    <w:rsid w:val="004440F1"/>
    <w:rsid w:val="004456DD"/>
    <w:rsid w:val="00446CDF"/>
    <w:rsid w:val="004521B7"/>
    <w:rsid w:val="00462AB5"/>
    <w:rsid w:val="00463974"/>
    <w:rsid w:val="00465EAF"/>
    <w:rsid w:val="004738C5"/>
    <w:rsid w:val="00475AF1"/>
    <w:rsid w:val="0048062D"/>
    <w:rsid w:val="00484ECF"/>
    <w:rsid w:val="00485285"/>
    <w:rsid w:val="00491046"/>
    <w:rsid w:val="004A2AC7"/>
    <w:rsid w:val="004A3190"/>
    <w:rsid w:val="004A6D2F"/>
    <w:rsid w:val="004C2887"/>
    <w:rsid w:val="004D2626"/>
    <w:rsid w:val="004D3923"/>
    <w:rsid w:val="004D6E26"/>
    <w:rsid w:val="004D77D3"/>
    <w:rsid w:val="004E2959"/>
    <w:rsid w:val="004F20EF"/>
    <w:rsid w:val="004F6F88"/>
    <w:rsid w:val="0050321C"/>
    <w:rsid w:val="00506244"/>
    <w:rsid w:val="0051280C"/>
    <w:rsid w:val="00525243"/>
    <w:rsid w:val="00525FD0"/>
    <w:rsid w:val="0052609E"/>
    <w:rsid w:val="0054712D"/>
    <w:rsid w:val="00547EF6"/>
    <w:rsid w:val="00553D25"/>
    <w:rsid w:val="00556930"/>
    <w:rsid w:val="005570B5"/>
    <w:rsid w:val="00567E18"/>
    <w:rsid w:val="00575F5F"/>
    <w:rsid w:val="00581805"/>
    <w:rsid w:val="00583D5B"/>
    <w:rsid w:val="00585F76"/>
    <w:rsid w:val="00592A91"/>
    <w:rsid w:val="00594672"/>
    <w:rsid w:val="005A34E4"/>
    <w:rsid w:val="005B17F2"/>
    <w:rsid w:val="005B5C74"/>
    <w:rsid w:val="005B7FB0"/>
    <w:rsid w:val="005C35A5"/>
    <w:rsid w:val="005C577C"/>
    <w:rsid w:val="005C7C4D"/>
    <w:rsid w:val="005D0621"/>
    <w:rsid w:val="005D1E27"/>
    <w:rsid w:val="005D2A3E"/>
    <w:rsid w:val="005E022E"/>
    <w:rsid w:val="005E09E4"/>
    <w:rsid w:val="005E5215"/>
    <w:rsid w:val="005F1CE3"/>
    <w:rsid w:val="005F7DFD"/>
    <w:rsid w:val="005F7F7E"/>
    <w:rsid w:val="00614693"/>
    <w:rsid w:val="00623C2F"/>
    <w:rsid w:val="00633578"/>
    <w:rsid w:val="00637068"/>
    <w:rsid w:val="00650811"/>
    <w:rsid w:val="00661D3E"/>
    <w:rsid w:val="00677480"/>
    <w:rsid w:val="00692627"/>
    <w:rsid w:val="006969E7"/>
    <w:rsid w:val="006A33A4"/>
    <w:rsid w:val="006A3643"/>
    <w:rsid w:val="006C2309"/>
    <w:rsid w:val="006C2A29"/>
    <w:rsid w:val="006C5E00"/>
    <w:rsid w:val="006C64CF"/>
    <w:rsid w:val="006D17B1"/>
    <w:rsid w:val="006D4752"/>
    <w:rsid w:val="006D708A"/>
    <w:rsid w:val="006E14C1"/>
    <w:rsid w:val="006E4E21"/>
    <w:rsid w:val="006F0292"/>
    <w:rsid w:val="006F13A4"/>
    <w:rsid w:val="006F27FA"/>
    <w:rsid w:val="006F416B"/>
    <w:rsid w:val="006F519B"/>
    <w:rsid w:val="00701A36"/>
    <w:rsid w:val="00713675"/>
    <w:rsid w:val="00715823"/>
    <w:rsid w:val="007318C3"/>
    <w:rsid w:val="00734CAB"/>
    <w:rsid w:val="00737B93"/>
    <w:rsid w:val="00745BF0"/>
    <w:rsid w:val="007615FE"/>
    <w:rsid w:val="0076655C"/>
    <w:rsid w:val="00771CE4"/>
    <w:rsid w:val="007742DC"/>
    <w:rsid w:val="00787EBE"/>
    <w:rsid w:val="00791437"/>
    <w:rsid w:val="007B0C2C"/>
    <w:rsid w:val="007B278E"/>
    <w:rsid w:val="007B4414"/>
    <w:rsid w:val="007C5C23"/>
    <w:rsid w:val="007E2A26"/>
    <w:rsid w:val="007F2348"/>
    <w:rsid w:val="007F5525"/>
    <w:rsid w:val="00803F07"/>
    <w:rsid w:val="0080749A"/>
    <w:rsid w:val="00821FB8"/>
    <w:rsid w:val="00822ACD"/>
    <w:rsid w:val="00830214"/>
    <w:rsid w:val="00855C66"/>
    <w:rsid w:val="00871EE4"/>
    <w:rsid w:val="008779A7"/>
    <w:rsid w:val="00895396"/>
    <w:rsid w:val="00897B5E"/>
    <w:rsid w:val="008A2B97"/>
    <w:rsid w:val="008B293F"/>
    <w:rsid w:val="008B7371"/>
    <w:rsid w:val="008D3DDB"/>
    <w:rsid w:val="008E1B8A"/>
    <w:rsid w:val="008F573F"/>
    <w:rsid w:val="009034EC"/>
    <w:rsid w:val="0091328D"/>
    <w:rsid w:val="0091565D"/>
    <w:rsid w:val="0093067A"/>
    <w:rsid w:val="00941C60"/>
    <w:rsid w:val="00941FD1"/>
    <w:rsid w:val="009515C4"/>
    <w:rsid w:val="00966D42"/>
    <w:rsid w:val="00971689"/>
    <w:rsid w:val="00973E90"/>
    <w:rsid w:val="00975B07"/>
    <w:rsid w:val="00980B4A"/>
    <w:rsid w:val="00995B87"/>
    <w:rsid w:val="009B30D7"/>
    <w:rsid w:val="009D4D67"/>
    <w:rsid w:val="009E3D0A"/>
    <w:rsid w:val="009E51FC"/>
    <w:rsid w:val="009F1D28"/>
    <w:rsid w:val="009F33F5"/>
    <w:rsid w:val="009F4F86"/>
    <w:rsid w:val="009F7618"/>
    <w:rsid w:val="009F762F"/>
    <w:rsid w:val="00A04D23"/>
    <w:rsid w:val="00A06766"/>
    <w:rsid w:val="00A13765"/>
    <w:rsid w:val="00A21B12"/>
    <w:rsid w:val="00A2251A"/>
    <w:rsid w:val="00A23F80"/>
    <w:rsid w:val="00A46E98"/>
    <w:rsid w:val="00A6352B"/>
    <w:rsid w:val="00A701B5"/>
    <w:rsid w:val="00A714BB"/>
    <w:rsid w:val="00A77147"/>
    <w:rsid w:val="00A92D8F"/>
    <w:rsid w:val="00AB2988"/>
    <w:rsid w:val="00AB7999"/>
    <w:rsid w:val="00AD3292"/>
    <w:rsid w:val="00AE0F00"/>
    <w:rsid w:val="00AE7AF0"/>
    <w:rsid w:val="00B056E2"/>
    <w:rsid w:val="00B327A2"/>
    <w:rsid w:val="00B37E6C"/>
    <w:rsid w:val="00B500CA"/>
    <w:rsid w:val="00B6136B"/>
    <w:rsid w:val="00B837E8"/>
    <w:rsid w:val="00B86314"/>
    <w:rsid w:val="00B87BB3"/>
    <w:rsid w:val="00B930C6"/>
    <w:rsid w:val="00BA1C2E"/>
    <w:rsid w:val="00BC200B"/>
    <w:rsid w:val="00BC4756"/>
    <w:rsid w:val="00BC69A4"/>
    <w:rsid w:val="00BD453C"/>
    <w:rsid w:val="00BE0680"/>
    <w:rsid w:val="00BE305F"/>
    <w:rsid w:val="00BE7BA3"/>
    <w:rsid w:val="00BF2502"/>
    <w:rsid w:val="00BF5682"/>
    <w:rsid w:val="00BF7B09"/>
    <w:rsid w:val="00C00FA6"/>
    <w:rsid w:val="00C1631F"/>
    <w:rsid w:val="00C20705"/>
    <w:rsid w:val="00C20A95"/>
    <w:rsid w:val="00C2692F"/>
    <w:rsid w:val="00C30C5D"/>
    <w:rsid w:val="00C31AC8"/>
    <w:rsid w:val="00C3207C"/>
    <w:rsid w:val="00C400E1"/>
    <w:rsid w:val="00C41187"/>
    <w:rsid w:val="00C51AA2"/>
    <w:rsid w:val="00C63C31"/>
    <w:rsid w:val="00C70F84"/>
    <w:rsid w:val="00C757A0"/>
    <w:rsid w:val="00C760DE"/>
    <w:rsid w:val="00C82630"/>
    <w:rsid w:val="00C85B4E"/>
    <w:rsid w:val="00C907F7"/>
    <w:rsid w:val="00C92C89"/>
    <w:rsid w:val="00CA2103"/>
    <w:rsid w:val="00CB11EE"/>
    <w:rsid w:val="00CB1514"/>
    <w:rsid w:val="00CB48C0"/>
    <w:rsid w:val="00CB6B99"/>
    <w:rsid w:val="00CE4C87"/>
    <w:rsid w:val="00CE544A"/>
    <w:rsid w:val="00CF5BF5"/>
    <w:rsid w:val="00D11E1C"/>
    <w:rsid w:val="00D14AD7"/>
    <w:rsid w:val="00D160B0"/>
    <w:rsid w:val="00D17F94"/>
    <w:rsid w:val="00D223C6"/>
    <w:rsid w:val="00D223FC"/>
    <w:rsid w:val="00D26D1E"/>
    <w:rsid w:val="00D40811"/>
    <w:rsid w:val="00D42931"/>
    <w:rsid w:val="00D474CF"/>
    <w:rsid w:val="00D53910"/>
    <w:rsid w:val="00D5547E"/>
    <w:rsid w:val="00D73378"/>
    <w:rsid w:val="00D860E2"/>
    <w:rsid w:val="00D869A1"/>
    <w:rsid w:val="00D87A5E"/>
    <w:rsid w:val="00D91B2E"/>
    <w:rsid w:val="00D96C73"/>
    <w:rsid w:val="00DA413F"/>
    <w:rsid w:val="00DA4584"/>
    <w:rsid w:val="00DA614B"/>
    <w:rsid w:val="00DB7AD7"/>
    <w:rsid w:val="00DC16AF"/>
    <w:rsid w:val="00DC3060"/>
    <w:rsid w:val="00DC38B0"/>
    <w:rsid w:val="00DE0FB2"/>
    <w:rsid w:val="00DE2553"/>
    <w:rsid w:val="00DE326C"/>
    <w:rsid w:val="00DE7BA9"/>
    <w:rsid w:val="00DF093E"/>
    <w:rsid w:val="00E01F42"/>
    <w:rsid w:val="00E10C70"/>
    <w:rsid w:val="00E12919"/>
    <w:rsid w:val="00E166AC"/>
    <w:rsid w:val="00E206D6"/>
    <w:rsid w:val="00E218A1"/>
    <w:rsid w:val="00E26ACE"/>
    <w:rsid w:val="00E303F0"/>
    <w:rsid w:val="00E3070A"/>
    <w:rsid w:val="00E3366E"/>
    <w:rsid w:val="00E52086"/>
    <w:rsid w:val="00E543A6"/>
    <w:rsid w:val="00E60479"/>
    <w:rsid w:val="00E61D73"/>
    <w:rsid w:val="00E63693"/>
    <w:rsid w:val="00E73684"/>
    <w:rsid w:val="00E818D6"/>
    <w:rsid w:val="00E87F7A"/>
    <w:rsid w:val="00E94B3E"/>
    <w:rsid w:val="00E96BD7"/>
    <w:rsid w:val="00EA0DB1"/>
    <w:rsid w:val="00EA0EE9"/>
    <w:rsid w:val="00EB058A"/>
    <w:rsid w:val="00EB37E4"/>
    <w:rsid w:val="00EC5266"/>
    <w:rsid w:val="00ED0CCC"/>
    <w:rsid w:val="00ED52CA"/>
    <w:rsid w:val="00ED5860"/>
    <w:rsid w:val="00EE35C9"/>
    <w:rsid w:val="00EF088B"/>
    <w:rsid w:val="00F05ECA"/>
    <w:rsid w:val="00F10FC7"/>
    <w:rsid w:val="00F3566E"/>
    <w:rsid w:val="00F375FB"/>
    <w:rsid w:val="00F41AC1"/>
    <w:rsid w:val="00F4367A"/>
    <w:rsid w:val="00F445B1"/>
    <w:rsid w:val="00F45CD4"/>
    <w:rsid w:val="00F546D7"/>
    <w:rsid w:val="00F54AA7"/>
    <w:rsid w:val="00F66DCA"/>
    <w:rsid w:val="00F74F53"/>
    <w:rsid w:val="00F7606D"/>
    <w:rsid w:val="00F81670"/>
    <w:rsid w:val="00F82024"/>
    <w:rsid w:val="00F838C2"/>
    <w:rsid w:val="00F95BC9"/>
    <w:rsid w:val="00FA452D"/>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C2627E4-3CE7-4152-AF6E-286ABEE5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553D25"/>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42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667188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108810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469124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881819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2455821">
      <w:bodyDiv w:val="1"/>
      <w:marLeft w:val="0"/>
      <w:marRight w:val="0"/>
      <w:marTop w:val="0"/>
      <w:marBottom w:val="0"/>
      <w:divBdr>
        <w:top w:val="none" w:sz="0" w:space="0" w:color="auto"/>
        <w:left w:val="none" w:sz="0" w:space="0" w:color="auto"/>
        <w:bottom w:val="none" w:sz="0" w:space="0" w:color="auto"/>
        <w:right w:val="none" w:sz="0" w:space="0" w:color="auto"/>
      </w:divBdr>
    </w:div>
    <w:div w:id="16162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abinet\Meetings\09%20September%202020\Contract%20for%20revenue%20&amp;%20benefits%20system\Draft\Cabinet%20Report%20Revs%20and%20Bens%20System%20July%202020%20for%20Portfolio%20holder%20clea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F2235-219A-465F-AC8C-0FF09F7E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Revs and Bens System July 2020 for Portfolio holder cleared</Template>
  <TotalTime>11</TotalTime>
  <Pages>5</Pages>
  <Words>1898</Words>
  <Characters>9798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jmitchell</dc:creator>
  <cp:keywords/>
  <dc:description/>
  <cp:lastModifiedBy>MITCHELL John</cp:lastModifiedBy>
  <cp:revision>7</cp:revision>
  <cp:lastPrinted>2015-07-03T12:50:00Z</cp:lastPrinted>
  <dcterms:created xsi:type="dcterms:W3CDTF">2020-08-13T15:35:00Z</dcterms:created>
  <dcterms:modified xsi:type="dcterms:W3CDTF">2020-08-26T14:24:00Z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